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C" w:rsidRPr="00C3211C" w:rsidRDefault="00C3211C" w:rsidP="00C3211C">
      <w:pPr>
        <w:spacing w:after="360" w:line="705" w:lineRule="atLeast"/>
        <w:jc w:val="center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36"/>
          <w:szCs w:val="36"/>
          <w:lang w:eastAsia="ru-RU"/>
        </w:rPr>
      </w:pPr>
      <w:r w:rsidRPr="00C3211C">
        <w:rPr>
          <w:rFonts w:ascii="митмитм" w:eastAsia="Times New Roman" w:hAnsi="митмитм" w:cs="Times New Roman" w:hint="eastAsia"/>
          <w:b/>
          <w:bCs/>
          <w:sz w:val="36"/>
          <w:szCs w:val="36"/>
          <w:lang w:eastAsia="ru-RU"/>
        </w:rPr>
        <w:t>МАРКИРОВКА</w:t>
      </w:r>
      <w:r w:rsidRPr="00C3211C">
        <w:rPr>
          <w:rFonts w:ascii="митмитм" w:eastAsia="Times New Roman" w:hAnsi="митмитм" w:cs="Times New Roman"/>
          <w:b/>
          <w:bCs/>
          <w:sz w:val="36"/>
          <w:szCs w:val="36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6"/>
          <w:szCs w:val="36"/>
          <w:lang w:eastAsia="ru-RU"/>
        </w:rPr>
        <w:t>УПАКОВАННОЙ</w:t>
      </w:r>
      <w:r w:rsidRPr="00C3211C">
        <w:rPr>
          <w:rFonts w:ascii="митмитм" w:eastAsia="Times New Roman" w:hAnsi="митмитм" w:cs="Times New Roman"/>
          <w:b/>
          <w:bCs/>
          <w:sz w:val="36"/>
          <w:szCs w:val="36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6"/>
          <w:szCs w:val="36"/>
          <w:lang w:eastAsia="ru-RU"/>
        </w:rPr>
        <w:t>ВОДЫ</w:t>
      </w:r>
    </w:p>
    <w:p w:rsidR="00C3211C" w:rsidRPr="00C3211C" w:rsidRDefault="00C3211C" w:rsidP="00C3211C">
      <w:pPr>
        <w:spacing w:after="0" w:line="240" w:lineRule="auto"/>
        <w:jc w:val="both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Перечень товаров, подлежащих обязательной маркировке средствами идентификации согласно </w:t>
      </w:r>
      <w:hyperlink r:id="rId5" w:tgtFrame="_blank" w:history="1">
        <w:r w:rsidRPr="00C3211C">
          <w:rPr>
            <w:rFonts w:ascii="митмитм" w:eastAsia="Times New Roman" w:hAnsi="митмитм" w:cs="Times New Roman"/>
            <w:b/>
            <w:bCs/>
            <w:sz w:val="26"/>
            <w:szCs w:val="26"/>
            <w:lang w:eastAsia="ru-RU"/>
          </w:rPr>
          <w:t>Постановлению Правительства Российской Федерации № 841 от 31 мая 2021 года</w:t>
        </w:r>
      </w:hyperlink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В отношении упакованной воды введена обязательная маркировка средствами идентификации, </w:t>
      </w: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этапность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введения которой следующая:</w:t>
      </w:r>
    </w:p>
    <w:p w:rsidR="00C3211C" w:rsidRPr="00C3211C" w:rsidRDefault="00C3211C" w:rsidP="00C3211C">
      <w:pPr>
        <w:numPr>
          <w:ilvl w:val="0"/>
          <w:numId w:val="1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с 1 декабря 2021 г. – запрет на ввод в оборот немаркированной минеральной воды;</w:t>
      </w:r>
    </w:p>
    <w:p w:rsidR="00C3211C" w:rsidRPr="00C3211C" w:rsidRDefault="00C3211C" w:rsidP="00C3211C">
      <w:pPr>
        <w:numPr>
          <w:ilvl w:val="0"/>
          <w:numId w:val="1"/>
        </w:numPr>
        <w:spacing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с 1 марта 2022 г. – запрет на ввод в оборот немаркированных прочих категорий питьевой воды;</w:t>
      </w:r>
    </w:p>
    <w:p w:rsidR="00C3211C" w:rsidRPr="00C3211C" w:rsidRDefault="00C3211C" w:rsidP="009569B1">
      <w:pPr>
        <w:spacing w:after="0" w:line="27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Минеральная вода</w:t>
      </w:r>
      <w:r w:rsidR="009569B1" w:rsidRPr="009569B1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01.12.2021</w:t>
      </w:r>
    </w:p>
    <w:p w:rsidR="00C3211C" w:rsidRPr="00C3211C" w:rsidRDefault="00C3211C" w:rsidP="009569B1">
      <w:pPr>
        <w:spacing w:after="0" w:line="27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Прочие категории питьевой воды</w:t>
      </w:r>
      <w:r w:rsidR="009569B1" w:rsidRPr="009569B1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01.03.2022</w: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br/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Не подлежит маркировке: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Лед, снег.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отнесенная к пищевой продукции для детского питания.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помещаемая под таможенные процедуры таможенного склада, таможенного транзита, экспорта.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Образцы упакованной воды для проведения испытаний при их хранении и транспортировке.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реализуемая в магазинах беспошлинной торговли.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ввозимая физическими лицами для собственного потребления.</w:t>
      </w:r>
    </w:p>
    <w:p w:rsidR="00C3211C" w:rsidRPr="00C3211C" w:rsidRDefault="00C3211C" w:rsidP="00C3211C">
      <w:pPr>
        <w:numPr>
          <w:ilvl w:val="0"/>
          <w:numId w:val="2"/>
        </w:numPr>
        <w:spacing w:after="180"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предназначенная для официального использования дипломатическими представительствами.</w:t>
      </w:r>
    </w:p>
    <w:p w:rsidR="00C3211C" w:rsidRPr="00C3211C" w:rsidRDefault="00C3211C" w:rsidP="00C3211C">
      <w:pPr>
        <w:numPr>
          <w:ilvl w:val="0"/>
          <w:numId w:val="2"/>
        </w:numPr>
        <w:spacing w:line="270" w:lineRule="atLeast"/>
        <w:ind w:left="0" w:firstLine="0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Упакованная вода, хранящаяся производителем.</w:t>
      </w:r>
    </w:p>
    <w:p w:rsidR="009569B1" w:rsidRDefault="009569B1" w:rsidP="00C3211C">
      <w:pPr>
        <w:spacing w:after="360" w:line="705" w:lineRule="atLeast"/>
        <w:jc w:val="center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</w:pPr>
    </w:p>
    <w:p w:rsidR="009569B1" w:rsidRDefault="009569B1" w:rsidP="00C3211C">
      <w:pPr>
        <w:spacing w:after="360" w:line="705" w:lineRule="atLeast"/>
        <w:jc w:val="center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</w:pPr>
    </w:p>
    <w:p w:rsidR="009569B1" w:rsidRDefault="009569B1" w:rsidP="00C3211C">
      <w:pPr>
        <w:spacing w:after="360" w:line="705" w:lineRule="atLeast"/>
        <w:jc w:val="center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</w:pPr>
    </w:p>
    <w:p w:rsidR="00C3211C" w:rsidRPr="00C3211C" w:rsidRDefault="00C3211C" w:rsidP="00C3211C">
      <w:pPr>
        <w:spacing w:after="360" w:line="705" w:lineRule="atLeast"/>
        <w:jc w:val="center"/>
        <w:textAlignment w:val="baseline"/>
        <w:outlineLvl w:val="1"/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</w:pPr>
      <w:r w:rsidRPr="00C3211C">
        <w:rPr>
          <w:rFonts w:ascii="митмитм" w:eastAsia="Times New Roman" w:hAnsi="митмитм" w:cs="Times New Roman" w:hint="eastAsia"/>
          <w:b/>
          <w:bCs/>
          <w:sz w:val="32"/>
          <w:szCs w:val="32"/>
          <w:lang w:eastAsia="ru-RU"/>
        </w:rPr>
        <w:lastRenderedPageBreak/>
        <w:t>СРОКИ</w:t>
      </w:r>
      <w:r w:rsidRPr="00C3211C"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2"/>
          <w:szCs w:val="32"/>
          <w:lang w:eastAsia="ru-RU"/>
        </w:rPr>
        <w:t>ЗАПУСКА</w:t>
      </w:r>
      <w:r w:rsidRPr="00C3211C"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2"/>
          <w:szCs w:val="32"/>
          <w:lang w:eastAsia="ru-RU"/>
        </w:rPr>
        <w:t>МАРКИРОВКИ</w:t>
      </w:r>
      <w:r w:rsidRPr="00C3211C"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2"/>
          <w:szCs w:val="32"/>
          <w:lang w:eastAsia="ru-RU"/>
        </w:rPr>
        <w:t>УПАКОВАННОЙ</w:t>
      </w:r>
      <w:r w:rsidRPr="00C3211C">
        <w:rPr>
          <w:rFonts w:ascii="митмитм" w:eastAsia="Times New Roman" w:hAnsi="митмитм" w:cs="Times New Roman"/>
          <w:b/>
          <w:bCs/>
          <w:sz w:val="32"/>
          <w:szCs w:val="32"/>
          <w:lang w:eastAsia="ru-RU"/>
        </w:rPr>
        <w:t xml:space="preserve"> </w:t>
      </w:r>
      <w:r w:rsidRPr="00C3211C">
        <w:rPr>
          <w:rFonts w:ascii="митмитм" w:eastAsia="Times New Roman" w:hAnsi="митмитм" w:cs="Times New Roman" w:hint="eastAsia"/>
          <w:b/>
          <w:bCs/>
          <w:sz w:val="32"/>
          <w:szCs w:val="32"/>
          <w:lang w:eastAsia="ru-RU"/>
        </w:rPr>
        <w:t>ВОДЫ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ода" style="width:24pt;height:24pt"/>
        </w:pic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Проведен эксперимент по маркировке упакованной воды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с 1 апреля 2020 года по 1 июня 2021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1 июня 2021 года закончился </w:t>
      </w: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пилотный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проект по маркировке упакованной воды. В нем приняло участие более 5 тыс. компаний, было выпущено около 10 млн. кодов маркировки.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26" type="#_x0000_t75" alt="Старт регистрации" style="width:24pt;height:24pt"/>
        </w:pic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Старт обязательной регистрации в системе маркировки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сентября 2021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gram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Производители, импортеры, организации оптовой и розничной торговли, осуществляющие оборот упакованной воды, должны подать заявление на регистрацию в системе маркировки с 1 сентября 2021 года, но не позднее 7 дней со дня возникновения необходимости осуществления оборота маркированной упакованной воды.</w:t>
      </w:r>
      <w:proofErr w:type="gramEnd"/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27" type="#_x0000_t75" alt="Минеральная вода" style="width:24pt;height:24pt"/>
        </w:pic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Маркировка становится обязательной для категории «минеральная вода»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декабря 2021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С 1 декабря 2021 года маркировка становится обязательной для категории «минеральная вода». Производители и импортеры минеральной воды (продукции, соответствующей кодам ТН ВЭД 2201, в том числе 2201 10, ОКПД</w:t>
      </w:r>
      <w:proofErr w:type="gram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2</w:t>
      </w:r>
      <w:proofErr w:type="gram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11.07.11.110) к этой дате обязаны быть зарегистрированы в системе и описать свои товары в каталоге. К этому времени также должны быть полностью настроены процессы по заказу кодов, их нанесению на товары с подачей в систему отчета о нанесении и вводе кодов маркировки в оборот, налажена работа по оплате кодов. Оборот немаркированной минеральной воды с этой даты будет запрещен.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28" type="#_x0000_t75" alt="Питьевая вода" style="width:24pt;height:24pt"/>
        </w:pict>
      </w: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Маркировка становится обязательной для прочих категорий питьевой воды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lastRenderedPageBreak/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марта 2022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Производители и импортеры любой категории упакованной воды (ТН ВЭД 2201, в том числе 2201 90 000 0, ОКПД</w:t>
      </w:r>
      <w:proofErr w:type="gram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2</w:t>
      </w:r>
      <w:proofErr w:type="gram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11.07.11.120, 11.07.11.130, 11.07.11.140) к этой дате обязаны быть зарегистрированы в системе и описать свои товары в каталоге. К этому времени также должны быть полностью настроены процессы по заказу кодов, их нанесению на товары с подачей в систему отчета о нанесении и вводе кодов маркировки в оборот, налажена работа по оплате кодов. Оборот немаркированной упакованной воды с этой даты будет запрещен.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29" type="#_x0000_t75" alt="Участники оборота" style="width:24pt;height:24pt"/>
        </w:pic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Появляется обязанность передачи сведений в систему маркировки о розничной реализации маркированной воды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сентября 2022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Розница, которая продает любые типы упакованной питьевой воды, с этой даты обеспечивает сканирование кодов на кассе при продаже маркированной продукции и передачу сведений о продажах в систему маркировки с использованием </w:t>
      </w: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онлайн-касс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. К этому времени необходимо протестировать процессы продажи, передачи сведений в систему маркировки, и обеспечить наличие 2D-сканеров на кассах, а также при необходимости обновить кассовое </w:t>
      </w:r>
      <w:proofErr w:type="gram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ПО</w:t>
      </w:r>
      <w:proofErr w:type="gram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.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30" type="#_x0000_t75" alt="Обязательность передачи" style="width:24pt;height:24pt"/>
        </w:pict>
      </w:r>
    </w:p>
    <w:p w:rsidR="00C3211C" w:rsidRPr="00C3211C" w:rsidRDefault="00C3211C" w:rsidP="00C3211C">
      <w:pPr>
        <w:spacing w:after="0"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Появляется обязанность передачи сведений об обороте маркированной воды (объемно-сортовой учет)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ноября 2022 года</w:t>
      </w:r>
    </w:p>
    <w:p w:rsidR="00C3211C" w:rsidRPr="00C3211C" w:rsidRDefault="00C3211C" w:rsidP="00C3211C">
      <w:pPr>
        <w:spacing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Производитель, импортер, организации оптовой и розничной торговли – с этой даты должны использовать электронный документооборот в процессах отгрузки и приемки маркированной продукции. Участникам оборота необходимо внедрить и настроить электронный документооборот. Для этого нужно выбрать оператора ЭДО и провести тестирование электронного документооборота с контрагентами. Передавать сведения в систему необходимо о партиях товаров (информация о коде товара и количестве отгружаемого маркированного товара), при этом возможно передавать информацию без указания конкретных кодов маркировки, которые перемещаются между собственниками.</w:t>
      </w:r>
    </w:p>
    <w:p w:rsidR="00C3211C" w:rsidRPr="00C3211C" w:rsidRDefault="00C3211C" w:rsidP="00C3211C">
      <w:pPr>
        <w:shd w:val="clear" w:color="auto" w:fill="63666A"/>
        <w:spacing w:line="240" w:lineRule="auto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pict>
          <v:shape id="_x0000_i1031" type="#_x0000_t75" alt="Маркированная вода" style="width:24pt;height:24pt"/>
        </w:pict>
      </w:r>
    </w:p>
    <w:p w:rsidR="00C3211C" w:rsidRPr="00C3211C" w:rsidRDefault="00C3211C" w:rsidP="00C3211C">
      <w:pPr>
        <w:spacing w:after="0" w:line="390" w:lineRule="atLeast"/>
        <w:textAlignment w:val="baseline"/>
        <w:outlineLvl w:val="2"/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lastRenderedPageBreak/>
        <w:t>Появляется обязанность передачи сведений об обороте маркированной воды (</w:t>
      </w:r>
      <w:proofErr w:type="spellStart"/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>поэкземплярный</w:t>
      </w:r>
      <w:proofErr w:type="spellEnd"/>
      <w:r w:rsidRPr="00C3211C">
        <w:rPr>
          <w:rFonts w:ascii="митмитм" w:eastAsia="Times New Roman" w:hAnsi="митмитм" w:cs="Times New Roman"/>
          <w:b/>
          <w:bCs/>
          <w:sz w:val="26"/>
          <w:szCs w:val="26"/>
          <w:lang w:eastAsia="ru-RU"/>
        </w:rPr>
        <w:t xml:space="preserve"> учет)</w:t>
      </w:r>
    </w:p>
    <w:p w:rsidR="00C3211C" w:rsidRPr="00C3211C" w:rsidRDefault="00C3211C" w:rsidP="00C3211C">
      <w:pPr>
        <w:spacing w:before="90" w:after="9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proofErr w:type="spell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c</w:t>
      </w:r>
      <w:proofErr w:type="spell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 1 марта 2025 года</w:t>
      </w:r>
    </w:p>
    <w:p w:rsidR="00C3211C" w:rsidRPr="00C3211C" w:rsidRDefault="00C3211C" w:rsidP="00C3211C">
      <w:pPr>
        <w:spacing w:after="0" w:line="360" w:lineRule="atLeast"/>
        <w:textAlignment w:val="baseline"/>
        <w:rPr>
          <w:rFonts w:ascii="митмитм" w:eastAsia="Times New Roman" w:hAnsi="митмитм" w:cs="Times New Roman"/>
          <w:sz w:val="26"/>
          <w:szCs w:val="26"/>
          <w:lang w:eastAsia="ru-RU"/>
        </w:rPr>
      </w:pPr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Производитель, импортер, организации оптовой и розничной торговли–с этой даты должны использовать электронный документооборот в процессах отгрузки и приемки маркированной продукции. Участникам оборота необходимо внедрить и настроить электронный документооборот. Для этого нужно выбрать оператора ЭДО и провести тестирование электронного документооборота с контрагентами</w:t>
      </w:r>
      <w:proofErr w:type="gramStart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 xml:space="preserve">.. </w:t>
      </w:r>
      <w:proofErr w:type="gramEnd"/>
      <w:r w:rsidRPr="00C3211C">
        <w:rPr>
          <w:rFonts w:ascii="митмитм" w:eastAsia="Times New Roman" w:hAnsi="митмитм" w:cs="Times New Roman"/>
          <w:sz w:val="26"/>
          <w:szCs w:val="26"/>
          <w:lang w:eastAsia="ru-RU"/>
        </w:rPr>
        <w:t>Передавать сведения в систему необходимо о каждой единице маркированного товара.</w:t>
      </w:r>
    </w:p>
    <w:p w:rsidR="00B84F63" w:rsidRPr="00C3211C" w:rsidRDefault="00B84F63" w:rsidP="00C3211C">
      <w:pPr>
        <w:rPr>
          <w:rFonts w:ascii="митмитм" w:hAnsi="митмитм"/>
          <w:sz w:val="26"/>
          <w:szCs w:val="26"/>
        </w:rPr>
      </w:pPr>
    </w:p>
    <w:sectPr w:rsidR="00B84F63" w:rsidRPr="00C3211C" w:rsidSect="00B8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митмит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B44"/>
    <w:multiLevelType w:val="multilevel"/>
    <w:tmpl w:val="7AB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35E3B"/>
    <w:multiLevelType w:val="multilevel"/>
    <w:tmpl w:val="257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11C"/>
    <w:rsid w:val="009569B1"/>
    <w:rsid w:val="00B84F63"/>
    <w:rsid w:val="00C3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3"/>
  </w:style>
  <w:style w:type="paragraph" w:styleId="2">
    <w:name w:val="heading 2"/>
    <w:basedOn w:val="a"/>
    <w:link w:val="20"/>
    <w:uiPriority w:val="9"/>
    <w:qFormat/>
    <w:rsid w:val="00C32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par-lh-big">
    <w:name w:val="text-par-lh-big"/>
    <w:basedOn w:val="a"/>
    <w:rsid w:val="00C3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21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7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17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788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67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41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880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942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72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79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22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7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07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321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28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001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20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43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846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613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25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54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38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89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118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08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upload/Postanovlenie%20Pravitelstva%20Rossijskoj%20Federacii%20ot%2031.05.2021%20%208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2021-10-12T06:56:00Z</dcterms:created>
  <dcterms:modified xsi:type="dcterms:W3CDTF">2021-10-12T07:00:00Z</dcterms:modified>
</cp:coreProperties>
</file>