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97" w:rsidRDefault="00C5539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55397" w:rsidRDefault="00C55397">
      <w:pPr>
        <w:pStyle w:val="ConsPlusNormal"/>
        <w:ind w:firstLine="540"/>
        <w:jc w:val="both"/>
        <w:outlineLvl w:val="0"/>
      </w:pPr>
    </w:p>
    <w:p w:rsidR="00C55397" w:rsidRDefault="00C55397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C55397" w:rsidRDefault="00C55397">
      <w:pPr>
        <w:pStyle w:val="ConsPlusTitle"/>
        <w:jc w:val="center"/>
      </w:pPr>
    </w:p>
    <w:p w:rsidR="00C55397" w:rsidRDefault="00C55397">
      <w:pPr>
        <w:pStyle w:val="ConsPlusTitle"/>
        <w:jc w:val="center"/>
      </w:pPr>
      <w:r>
        <w:t>РЕШЕНИЕ</w:t>
      </w:r>
    </w:p>
    <w:p w:rsidR="00C55397" w:rsidRDefault="00C55397">
      <w:pPr>
        <w:pStyle w:val="ConsPlusTitle"/>
        <w:jc w:val="center"/>
      </w:pPr>
      <w:r>
        <w:t>от 17 мая 2017 г. N 21</w:t>
      </w:r>
    </w:p>
    <w:p w:rsidR="00C55397" w:rsidRDefault="00C55397">
      <w:pPr>
        <w:pStyle w:val="ConsPlusTitle"/>
        <w:jc w:val="center"/>
      </w:pPr>
    </w:p>
    <w:p w:rsidR="00C55397" w:rsidRDefault="00C55397">
      <w:pPr>
        <w:pStyle w:val="ConsPlusTitle"/>
        <w:jc w:val="center"/>
      </w:pPr>
      <w:r>
        <w:t>О ТЕХНИЧЕСКОМ РЕГЛАМЕНТЕ</w:t>
      </w:r>
    </w:p>
    <w:p w:rsidR="00C55397" w:rsidRDefault="00C55397">
      <w:pPr>
        <w:pStyle w:val="ConsPlusTitle"/>
        <w:jc w:val="center"/>
      </w:pPr>
      <w:r>
        <w:t>ЕВРАЗИЙСКОГО ЭКОНОМИЧЕСКОГО СОЮЗА "О БЕЗОПАСНОСТИ</w:t>
      </w:r>
    </w:p>
    <w:p w:rsidR="00C55397" w:rsidRDefault="00C55397">
      <w:pPr>
        <w:pStyle w:val="ConsPlusTitle"/>
        <w:jc w:val="center"/>
      </w:pPr>
      <w:r>
        <w:t>ОБОРУДОВАНИЯ ДЛЯ ДЕТСКИХ ИГРОВЫХ ПЛОЩАДОК"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52</w:t>
        </w:r>
      </w:hyperlink>
      <w:r>
        <w:t xml:space="preserve"> Договора о Евразийском экономическом союзе от 29 мая 2014 года и </w:t>
      </w:r>
      <w:hyperlink r:id="rId6">
        <w:r>
          <w:rPr>
            <w:color w:val="0000FF"/>
          </w:rPr>
          <w:t>пунктом 29</w:t>
        </w:r>
      </w:hyperlink>
      <w: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1. Принять прилагаемый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(ТР ЕАЭС 042/2017).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2. Установить, что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(ТР ЕАЭС 042/2017) вступает в силу по истечении 18 месяцев с даты его принятия.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3. Настоящее Решение вступает в силу по истечении 30 календарных дней с даты его официального опубликования.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</w:pPr>
      <w:r>
        <w:t>Члены Совета Евразийской экономической комиссии:</w:t>
      </w:r>
    </w:p>
    <w:p w:rsidR="00C55397" w:rsidRDefault="00C553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8"/>
        <w:gridCol w:w="1848"/>
        <w:gridCol w:w="1849"/>
        <w:gridCol w:w="1848"/>
        <w:gridCol w:w="1849"/>
      </w:tblGrid>
      <w:tr w:rsidR="00C5539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От Республики Армения</w:t>
            </w:r>
          </w:p>
          <w:p w:rsidR="00C55397" w:rsidRDefault="00C55397">
            <w:pPr>
              <w:pStyle w:val="ConsPlusNormal"/>
              <w:jc w:val="center"/>
            </w:pPr>
            <w:r>
              <w:t>В.ГАБРИЕЛЯН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От Республики Беларусь</w:t>
            </w:r>
          </w:p>
          <w:p w:rsidR="00C55397" w:rsidRDefault="00C55397">
            <w:pPr>
              <w:pStyle w:val="ConsPlusNormal"/>
              <w:jc w:val="center"/>
            </w:pPr>
            <w:r>
              <w:t>В.МАТЮШЕВСКИЙ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C55397" w:rsidRDefault="00C55397">
            <w:pPr>
              <w:pStyle w:val="ConsPlusNormal"/>
              <w:jc w:val="center"/>
            </w:pPr>
            <w:r>
              <w:t>А.МАМИН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От Кыргызской Республики</w:t>
            </w:r>
          </w:p>
          <w:p w:rsidR="00C55397" w:rsidRDefault="00C55397">
            <w:pPr>
              <w:pStyle w:val="ConsPlusNormal"/>
              <w:jc w:val="center"/>
            </w:pPr>
            <w:r>
              <w:t>О.ПАНКРАТОВ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C55397" w:rsidRDefault="00C55397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right"/>
        <w:outlineLvl w:val="0"/>
      </w:pPr>
      <w:r>
        <w:t>Принят</w:t>
      </w:r>
    </w:p>
    <w:p w:rsidR="00C55397" w:rsidRDefault="00C55397">
      <w:pPr>
        <w:pStyle w:val="ConsPlusNormal"/>
        <w:jc w:val="right"/>
      </w:pPr>
      <w:r>
        <w:t>Решением Совета Евразийской</w:t>
      </w:r>
    </w:p>
    <w:p w:rsidR="00C55397" w:rsidRDefault="00C55397">
      <w:pPr>
        <w:pStyle w:val="ConsPlusNormal"/>
        <w:jc w:val="right"/>
      </w:pPr>
      <w:r>
        <w:t>экономической комиссии</w:t>
      </w:r>
    </w:p>
    <w:p w:rsidR="00C55397" w:rsidRDefault="00C55397">
      <w:pPr>
        <w:pStyle w:val="ConsPlusNormal"/>
        <w:jc w:val="right"/>
      </w:pPr>
      <w:r>
        <w:t>от 17 мая 2017 г. N 21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</w:pPr>
      <w:bookmarkStart w:id="0" w:name="P37"/>
      <w:bookmarkEnd w:id="0"/>
      <w:r>
        <w:t>ТЕХНИЧЕСКИЙ РЕГЛАМЕНТ</w:t>
      </w:r>
    </w:p>
    <w:p w:rsidR="00C55397" w:rsidRDefault="00C55397">
      <w:pPr>
        <w:pStyle w:val="ConsPlusNormal"/>
        <w:jc w:val="center"/>
      </w:pPr>
      <w:r>
        <w:t>ЕВРАЗИЙСКОГО ЭКОНОМИЧЕСКОГО СОЮЗА "О БЕЗОПАСНОСТИ</w:t>
      </w:r>
    </w:p>
    <w:p w:rsidR="00C55397" w:rsidRDefault="00C55397">
      <w:pPr>
        <w:pStyle w:val="ConsPlusNormal"/>
        <w:jc w:val="center"/>
      </w:pPr>
      <w:r>
        <w:t>ОБОРУДОВАНИЯ ДЛЯ ДЕТСКИХ ИГРОВЫХ ПЛОЩАДОК"</w:t>
      </w:r>
    </w:p>
    <w:p w:rsidR="00C55397" w:rsidRDefault="00C55397">
      <w:pPr>
        <w:pStyle w:val="ConsPlusNormal"/>
        <w:jc w:val="center"/>
      </w:pPr>
      <w:r>
        <w:t>(ТР ЕАЭС 042/2017)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1"/>
      </w:pPr>
      <w:r>
        <w:t>I. Область применения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1. 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2. Настоящий технический регламент 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территориях или в закрытых помещениях, по перечню согласно </w:t>
      </w:r>
      <w:hyperlink w:anchor="P344">
        <w:r>
          <w:rPr>
            <w:color w:val="0000FF"/>
          </w:rPr>
          <w:t>приложению N 1</w:t>
        </w:r>
      </w:hyperlink>
      <w:r>
        <w:t>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3. Настоящий технический регламент разработан в целях защиты жизни и (или) здоровья человека, имущества, окружающей среды, предупреждения действий, вводящих потребителей в заблуждение.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lastRenderedPageBreak/>
        <w:t>4. Настоящий технический регламент не распространяется на: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а) 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б) спортивное оборудование и изделия, предназначенные для тренировок и занятий физической культурой, спортом и туризмом;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в) аттракционы, на которые распространяется действие технического </w:t>
      </w:r>
      <w:hyperlink r:id="rId7">
        <w:r>
          <w:rPr>
            <w:color w:val="0000FF"/>
          </w:rPr>
          <w:t>регламента</w:t>
        </w:r>
      </w:hyperlink>
      <w:r>
        <w:t xml:space="preserve"> Евразийского экономического союза "О безопасности аттракционов" (ТР ЕАЭС 038/2016), принятого Решением Совета Евразийской экономической комиссии от 18 октября 2016 г. N 114;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г) игрушки.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5. В случае если в отношении оборудования и (или) покрытия для детских игровых площадок приняты иные технические регламенты Союза (Таможенного союза), устанавливающие требования к ним, то такие оборудование и (или) покрытие должны соответствовать требованиям всех технических регламентов Союза (Таможенного союза), действие которых на них распространяется.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1"/>
      </w:pPr>
      <w:r>
        <w:t>II. Основные понятия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 xml:space="preserve">6. Для целей применения настоящего технического регламента используются понятия, предусмотренные </w:t>
      </w:r>
      <w:hyperlink r:id="rId8">
        <w:r>
          <w:rPr>
            <w:color w:val="0000FF"/>
          </w:rPr>
          <w:t>Протоколом</w:t>
        </w:r>
      </w:hyperlink>
      <w:r>
        <w:t xml:space="preserve"> о техническом регулировании в рамках Евразийского экономического союза (приложение N 9 к Договору о Евразийском экономическом союзе от 29 мая 2014 года), а также понятия, которые означают следующее: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"возрастная группа" - группа детей определенного возраста, имеющих схожие рост, вес, физическую силу и уровень интеллектуального развития;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"детская игровая площадка" - специально оборудованная территория, предназначенная для игры детей, включающая в себя соответствующие оборудование и покрытие;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"детский городок (игровой комплекс)" - многофункциональное оборудование для детской игровой площадки, состоящее из нескольких конструкций;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"жизненный цикл оборудования и (или) покрытия" - временной период от начала проектирования до завершения эксплуатации оборудования и (или) покрытия, включающий в себя в том числе производство, хранение, перевозку, монтаж, модернизацию, ремонт, техническое обслуживание и утилизацию;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"зона падения" - поверхность, на которую может попасть пользователь после падения с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"зона приземления" - зона детской игровой площадки, в которой осуществляются торможение и остановка ребенка;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"критическая высота падения" - максимальная высота падения с оборудования, при которой покрытие обеспечивает необходимый уровень демпфирования удара;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"назначенный срок службы"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"оборудование"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"паспорт"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"покрытие" - участок поверхности детской игровой площадки размером не менее зоны приземления, используемый совместно с оборудованием;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lastRenderedPageBreak/>
        <w:t>"пользователь" - ребенок, использующий по назначению оборудование и (или) покрытие, и лицо, осуществляющее присмотр за ним;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"продавец" - являющиеся резидентами государства - члена Союза юридическое лицо или физическое лицо, зарегистрированное в качестве индивидуального предпринимателя, которые осуществляют реализацию оборудования и (или) покрытия и несут ответственность за их соответствие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"ребенок" - пользователь детской игровой площадкой в возрасте до 14 лет;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"ремонт" - комплекс операций по восстановлению оборудования и (или) покрытия в целях обеспечения их исправности или работоспособности;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"тип оборудования и (или) покрытия" - изделия, имеющие несущественные отличия и произведенные с применением типовой технической документации и типовых технологических процессов;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"ударопоглощающее покрытие" - покрытие, обладающее амортизационными свойствами;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"эксплуатант"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 и обеспечивающие их соответствие требованиям настоящего технического регламента с момента ввода в эксплуатацию детской игровой площадки;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"эксплуатация оборудования и (или) покрытия" - стадия жизненного цикла с момента ввода в эксплуатацию оборудования и (или) покрытия до их утилизации.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1"/>
      </w:pPr>
      <w:bookmarkStart w:id="1" w:name="P77"/>
      <w:bookmarkEnd w:id="1"/>
      <w:r>
        <w:t>III. Правила идентификации оборудования и (или) покрытия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7. Для целей отнесения оборудования и (или) покрытия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оборудования и (или) покрытия.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8. Идентификация оборудования и (или) покрытия осуществляется по их наименованию и (или) документации визуальным методом.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9. Для идентификации оборудования и (или) покрытия в целях применения настоящего технического регламента используются товаросопроводительная документация, техническая документация (конструкторская документация, паспорт) и (или) маркировка. В качестве товаросопроводительной документации могут быть использованы договоры поставки, и (или) спецификации, и (или) этикетки, и (или) аннотации, а также другие документы, характеризующие оборудование и (или) покрытие.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1"/>
      </w:pPr>
      <w:r>
        <w:t>IV. Правила обращения оборудования и (или) покрытия</w:t>
      </w:r>
    </w:p>
    <w:p w:rsidR="00C55397" w:rsidRDefault="00C55397">
      <w:pPr>
        <w:pStyle w:val="ConsPlusNormal"/>
        <w:jc w:val="center"/>
      </w:pPr>
      <w:r>
        <w:t>на рынке Союза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 xml:space="preserve">10. Оборудование и (или) покрытие выпускаются в обращение на рынке Союза при их соответствии требованиям настоящего технического регламента и других технических регламентов Союза (Таможенного союза), действие которых распространяется на данное оборудование и (или) покрытие, и при условии, что они прошли оценку соответствия требованиям настоящего технического регламента согласно </w:t>
      </w:r>
      <w:hyperlink w:anchor="P225">
        <w:r>
          <w:rPr>
            <w:color w:val="0000FF"/>
          </w:rPr>
          <w:t>разделу IX</w:t>
        </w:r>
      </w:hyperlink>
      <w:r>
        <w:t xml:space="preserve"> настоящего технического регламента и другим техническим регламентам Союза (Таможенного союза), действие которых на них распространяется.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11. Оборудование и (или) покрытие, соответствие которых требованиям настоящего технического регламента не подтверждено, не маркируются единым знаком обращения продукции на рынке Союза и не допускаются к выпуску в обращение на рынке Союза.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1"/>
      </w:pPr>
      <w:r>
        <w:t>V. Требования безопасности к оборудованию и (или) покрытию</w:t>
      </w:r>
    </w:p>
    <w:p w:rsidR="00C55397" w:rsidRDefault="00C55397">
      <w:pPr>
        <w:pStyle w:val="ConsPlusNormal"/>
        <w:jc w:val="center"/>
      </w:pPr>
      <w:r>
        <w:t>при проектировании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bookmarkStart w:id="2" w:name="P92"/>
      <w:bookmarkEnd w:id="2"/>
      <w:r>
        <w:t>12. При проектировании оборудования и (или) покрытия необходимо обеспечить: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lastRenderedPageBreak/>
        <w:t>а) соответствие конструкторской документации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б) проведение комплекса необходимых расчетов и испытаний, основанных на аттестованных в установленном порядке методиках;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в) выбор материалов (сырья), применяемых при производстве оборудования и (или) покрытия, в зависимости от параметров и условий их эксплуатации;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г) установление критериев предельных состояний;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д) установление назначенных сроков службы, сроков технического обслуживания и ремонта;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е) выявление всех опасностей, связанных с возможной предсказуемой неправильной эксплуатацией оборудования и (или) покрытия;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ж) установление ограничений по эксплуатации оборудования и (или) покрытия.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13. Риск при эксплуатации оборудования и (или) покрытия необходимо рассчитывать с учетом целевой возрастной группы.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14. Разработка паспорта является неотъемлемой частью проектирования оборудования.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1"/>
      </w:pPr>
      <w:r>
        <w:t>VI. Требования безопасности к оборудованию и (или) покрытию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16. При производстве оборудования и его элементов изготовитель должен выполнять весь 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17. Паспорт оборудования после ввода его в эксплуатацию хранится у эксплуатанта.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18. Материалы, применяемые при производстве оборудования и (или) покрытия, не должны: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а) оказывать вредное воздействие на здоровье людей и окружающую среду в процессе эксплуатации;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б) вызывать термический ожог при контакте с кожей пользователя в климатических зонах с очень высокими или очень низкими температурами;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в) относиться к легковоспламеняющимся материалам;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г) относиться к чрезвычайно опасным по токсичности продуктам горения;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д) относиться к материалам, свойства которых недостаточно изучены.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19. Показатели гигиенической безопасности материалов, применяемых при производстве оборудования и (или) покрытия, должны соответствовать требованиям, указанным в </w:t>
      </w:r>
      <w:hyperlink w:anchor="P429">
        <w:r>
          <w:rPr>
            <w:color w:val="0000FF"/>
          </w:rPr>
          <w:t>приложении N 2</w:t>
        </w:r>
      </w:hyperlink>
      <w:r>
        <w:t xml:space="preserve"> к настоящему техническому регламенту.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20. Оборудование и (или) покрытие должны быть произведены таким образом, чтобы при применении по назначению они не представляли опасности для жизни и здоровья пользователей.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21. Оборудование и его элементы должны быть сконструированы таким образом, чтобы: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а) соответствовать возрастной группе детей, для которых они предназначены;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б) был очевиден и легко распознаваем ребенком возможный риск при игре;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в) лица, присматривающие за детьми, имели возможность доступа внутрь оборудования для оказания помощи детям;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lastRenderedPageBreak/>
        <w:t>г) не допускалось скопление воды на поверхности оборудования и обеспечивались свободный сток и просыхание;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д) обеспечивались доступность и удобство очистки от пыли, грязи и мусора.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23. Конструкция оборудования: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а) должна обеспечивать прочность, устойчивость, жесткость и неизменяемость;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в) не должна иметь выступающих элементов с острыми концами или кромками;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г) не должна иметь шероховатых поверхностей, способных нанести травму пользователю;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д) должна иметь защиту выступающих концов болтовых соединений;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е) должна иметь гладкие сварные швы;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ж) должна иметь закругленные углы и края любой доступной для пользователей части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з) должна исключать возможность демонтажа без применения специализированных инструментов;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н) должна иметь оснащение перилами и ограждениями;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о) не должна допускать застревание тела, частей тела или одежды ребенка;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п) должна обладать необходимой несущей способностью к возникающим нагрузкам.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24.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25. По всей зоне приземления с оборудования должны быть установлены ударопоглощающие покрытия.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26. Высота свободного падения с оборудования должна учитывать тип ударопоглощающего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Границы зоны приземления должны учитывать возможные перемещения ребенка и элементов конструкции.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27. Поверхности платформ, проходов, трапов и лестниц должны исключать скольжение при любых погодных условиях.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lastRenderedPageBreak/>
        <w:t>28. Ударопоглощающее покрытие не должно иметь опасных выступов.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29. При применении в качестве ударопоглощающего покрытия несыпучих материалов оно не должно иметь участков, на которых возможно застревание частей тела или одежды ребенка.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30. Ударопоглощающее покрытие должно сохранять свои свойства вне зависимости от климатических условий.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31. Под оборудованием с высотой свободного падения более 60 см ударопоглощающее покрытие оборудуется по всей зоне приземления.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32. Критическая высота падения должна быть равной высоте свободного падения с оборудования или превышать такую высоту.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33. Оборудование и (или) покрытие должны иметь назначенный срок службы, который устанавливается согласно </w:t>
      </w:r>
      <w:hyperlink w:anchor="P92">
        <w:r>
          <w:rPr>
            <w:color w:val="0000FF"/>
          </w:rPr>
          <w:t>пункту 12</w:t>
        </w:r>
      </w:hyperlink>
      <w:r>
        <w:t xml:space="preserve"> настоящего технического регламента.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34. 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Такая информация указывается на русском языке и при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оборудование и (или) покрытие.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1"/>
      </w:pPr>
      <w:r>
        <w:t>VII. Обеспечение безопасности оборудования</w:t>
      </w:r>
    </w:p>
    <w:p w:rsidR="00C55397" w:rsidRDefault="00C55397">
      <w:pPr>
        <w:pStyle w:val="ConsPlusNormal"/>
        <w:jc w:val="center"/>
      </w:pPr>
      <w:r>
        <w:t>и (или) покрытия при их монтаже, эксплуатации, перевозке,</w:t>
      </w:r>
    </w:p>
    <w:p w:rsidR="00C55397" w:rsidRDefault="00C55397">
      <w:pPr>
        <w:pStyle w:val="ConsPlusNormal"/>
        <w:jc w:val="center"/>
      </w:pPr>
      <w:r>
        <w:t>хранении и (или) утилизации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35. Информация о характеристиках и безопасной эксплуатации оборудования должна быть указана в паспорте.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36. Паспорт должен содержать следующую информацию: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основные технические данные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комплектность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сведения о приемке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сведения об упаковке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гарантийные обязательства изготовителя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сведения о хранении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сведения о перевозке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сведения о консервации и расконсервации оборудования при эксплуатации;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рекомендуемый тип покрытия;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сведения об учете неисправностей оборудования при эксплуатации;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сведения об учете технического обслуживания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lastRenderedPageBreak/>
        <w:t>инструкция по монтажу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правила безопасной эксплуатации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инструкция по осмотру и проверке оборудования перед началом эксплуатации;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инструкция по осмотру, обслуживанию и ремонту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сведения об утилизации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месяц и год производства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сведения о возрастных группах (включая ограничения по весу и росту);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назначенный срок службы;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особые отметки (при необходимости);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фото или графический рисунок (при необходимости цветные)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чертеж общего вида оборудования с указанием основных размеров;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схема сборки оборудования;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схема (план) зоны падения.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Паспорт оформляется на русском языке и при наличии соответствующих требований в законодательстве государства-члена на государственном (государственных) языке (языках) государства-члена, на территории которого реализуется оборудование.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37. Монтаж оборудования и (или) покрытия должен выполняться в соответствии с инструкцией по монтажу, которая должна содержать следующую информацию: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а) размеры минимального пространства для размещения оборудования и безопасное расстояние между оборудованием и поверхностью детской игровой площадки;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б) порядок монтажа оборудования и (или) покрытия;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в) необходимые обозначения, облегчающие сборку (например, метки на сборочных частях оборудования и подробные инструкции);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г) перечень необходимых специальных приспособлений и инструментов для монтажа оборудования и (или) покрытия (подъемных устройств, шаблонов, калибров, лекал и т.п.), а также мер предосторожности при монтаже оборудования и (или) покрытия;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д) значения момента затяжки резьбовых соединений (при необходимости);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е) размеры участка для установки оборудования конкретного вида;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ж) ориентация оборудования и его элементов в целях защиты от воздействия климатических условий (солнца, ветра (при необходимости));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з) требования к фундаменту, описание конструкции и схема размещения фундамента, требования к анкерному креплению;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и) описание особенностей ландшафта для обеспечения безопасной эксплуатации оборудования и (или) покрытия;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к) высота свободного падения (при выборе ударопоглощающего покрытия);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л) требование к окраске или специальной пропитке оборудования или его элементов (при необходимости);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м) требование к удалению элементов упаковки перед вводом оборудования в эксплуатацию.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38. Оборудование должно быть установлено таким образом, чтобы обеспечить безопасность </w:t>
      </w:r>
      <w:r>
        <w:lastRenderedPageBreak/>
        <w:t>пользователей.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39.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40. При применении в качестве ударопоглощающего покрытия на детской игровой площадке сыпучих материалов толщину такого покрытия увеличивают (по сравнению с необходимой толщиной) на величину, достаточную для компенсации вытеснения данного материала.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41. Ввод в эксплуатацию оборудования и (или) покрытия осуществляется в порядке, установленном законодательством государств-членов.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42. Эксплуатация оборудования и (или) покрытия осуществляется эксплуатантом в соответствии с требованиями настоящего технического регламента и правилами безопасной эксплуатации, установленными паспортом.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43. Техническое обслуживание и ремонт оборудования осуществляются в соответствии с паспортом.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44.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45. Для обеспечения безопасности оборудования внесение эксплуатантом в конструкцию оборудования изменений, влияющих на безопасность его конструкции или элементов, не допускается.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46. На детской игровой площадке должна быть размещена информация в виде таблички (пиктограммы), содержащая: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правила пользования оборудованием и сведения о возрастных группах (включая ограничения по росту и весу);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номера телефонов службы спасения, скорой помощи;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номера телефонов эксплуатанта, по которым следует обращаться в случае неисправности или поломки оборудования.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В процессе эксплуатации оборудования должны соблюдаться ограничения по росту и весу, указанные в паспорте.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47. Перевозка и хранение оборудования и его элементов должны осуществляться с учетом требований настоящего технического регламента и сведений, указанных в паспорте.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48. Утилизация оборудования осуществляется в соответствии с паспортом.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Особенности утилизации оборудования могут устанавливаться законодательством государств-членов в области охраны окружающей среды.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1"/>
      </w:pPr>
      <w:bookmarkStart w:id="3" w:name="P217"/>
      <w:bookmarkEnd w:id="3"/>
      <w:r>
        <w:t>VIII. Обеспечение соответствия оборудования</w:t>
      </w:r>
    </w:p>
    <w:p w:rsidR="00C55397" w:rsidRDefault="00C55397">
      <w:pPr>
        <w:pStyle w:val="ConsPlusNormal"/>
        <w:jc w:val="center"/>
      </w:pPr>
      <w:r>
        <w:t>и (или) покрытия требованиям безопасности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49. Соответствие оборудования и (или) покрытия настоящему техническому регламенту обеспечивается выполнением следующих требований:</w:t>
      </w:r>
    </w:p>
    <w:p w:rsidR="00C55397" w:rsidRDefault="00C55397">
      <w:pPr>
        <w:pStyle w:val="ConsPlusNormal"/>
        <w:spacing w:before="200"/>
        <w:ind w:firstLine="540"/>
        <w:jc w:val="both"/>
      </w:pPr>
      <w:bookmarkStart w:id="4" w:name="P221"/>
      <w:bookmarkEnd w:id="4"/>
      <w:r>
        <w:t xml:space="preserve">а) требования гигиенической безопасности, установленные </w:t>
      </w:r>
      <w:hyperlink w:anchor="P429">
        <w:r>
          <w:rPr>
            <w:color w:val="0000FF"/>
          </w:rPr>
          <w:t>приложением N 2</w:t>
        </w:r>
      </w:hyperlink>
      <w:r>
        <w:t xml:space="preserve"> к настоящему техническому регламенту;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б) требования безопасности, установленные настоящим техническим регламентом (за исключением требований, указанных в </w:t>
      </w:r>
      <w:hyperlink w:anchor="P221">
        <w:r>
          <w:rPr>
            <w:color w:val="0000FF"/>
          </w:rPr>
          <w:t>подпункте "а"</w:t>
        </w:r>
      </w:hyperlink>
      <w:r>
        <w:t xml:space="preserve"> настоящего пункта), либо требования стандартов,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настоящего технического </w:t>
      </w:r>
      <w:r>
        <w:lastRenderedPageBreak/>
        <w:t>регламента.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50. Методы исследований (испытаний) и измерений оборудования и (или) покрытия устанавливаются в стандартах,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оборудования и (или) покрытия.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1"/>
      </w:pPr>
      <w:bookmarkStart w:id="5" w:name="P225"/>
      <w:bookmarkEnd w:id="5"/>
      <w:r>
        <w:t>IX. Оценка соответствия оборудования и (или) покрытия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51. Оборудование и (или) покрытие, выпускаемые в обращение на рынке Союза, подлежат оценке соответствия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52. Оценка соответствия оборудования и (или) покрытия требованиям настоящего технического регламента проводится в формах подтверждения соответствия и оценки технического состояния (технического освидетельствования).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53. Подтверждение соответствия оборудования и (или) покрытия требованиям настоящего технического регламента (далее - подтверждение соответствия) осуществляется в форме сертификации или декларирования соответствия.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54. При подтверждении соответствия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изготовителями или продавцами либо уполномоченными изготовителем лицами.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55. Оборудование и (или) покрытие по перечню согласно </w:t>
      </w:r>
      <w:hyperlink w:anchor="P854">
        <w:r>
          <w:rPr>
            <w:color w:val="0000FF"/>
          </w:rPr>
          <w:t>приложению N 3</w:t>
        </w:r>
      </w:hyperlink>
      <w:r>
        <w:t xml:space="preserve"> подлежат подтверждению соответствия в форме сертификации по следующим схемам: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а) для оборудования и (или) покрытия, выпускаемых серийно, - </w:t>
      </w:r>
      <w:hyperlink r:id="rId11">
        <w:r>
          <w:rPr>
            <w:color w:val="0000FF"/>
          </w:rPr>
          <w:t>схемы 1с</w:t>
        </w:r>
      </w:hyperlink>
      <w:r>
        <w:t xml:space="preserve"> и </w:t>
      </w:r>
      <w:hyperlink r:id="rId12">
        <w:r>
          <w:rPr>
            <w:color w:val="0000FF"/>
          </w:rPr>
          <w:t>2с</w:t>
        </w:r>
      </w:hyperlink>
      <w:r>
        <w:t>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б) для партии оборудования и (или) покрытия - </w:t>
      </w:r>
      <w:hyperlink r:id="rId13">
        <w:r>
          <w:rPr>
            <w:color w:val="0000FF"/>
          </w:rPr>
          <w:t>схема 3с</w:t>
        </w:r>
      </w:hyperlink>
      <w:r>
        <w:t>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в) для единичного изделия - </w:t>
      </w:r>
      <w:hyperlink r:id="rId14">
        <w:r>
          <w:rPr>
            <w:color w:val="0000FF"/>
          </w:rPr>
          <w:t>схема 4с</w:t>
        </w:r>
      </w:hyperlink>
      <w:r>
        <w:t>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56. Оборудование и (или) покрытие по перечню согласно </w:t>
      </w:r>
      <w:hyperlink w:anchor="P883">
        <w:r>
          <w:rPr>
            <w:color w:val="0000FF"/>
          </w:rPr>
          <w:t>приложению N 4</w:t>
        </w:r>
      </w:hyperlink>
      <w:r>
        <w:t xml:space="preserve"> подлежат подтверждению соответствия в форме декларирования соответствия по следующим схемам: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а) для оборудования и (или) покрытия, выпускаемых серийно, - </w:t>
      </w:r>
      <w:hyperlink r:id="rId15">
        <w:r>
          <w:rPr>
            <w:color w:val="0000FF"/>
          </w:rPr>
          <w:t>схемы 1д</w:t>
        </w:r>
      </w:hyperlink>
      <w:r>
        <w:t xml:space="preserve"> и </w:t>
      </w:r>
      <w:hyperlink r:id="rId16">
        <w:r>
          <w:rPr>
            <w:color w:val="0000FF"/>
          </w:rPr>
          <w:t>3д</w:t>
        </w:r>
      </w:hyperlink>
      <w:r>
        <w:t>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б) для партии (единичного изделия) оборудования и (или) покрытия - </w:t>
      </w:r>
      <w:hyperlink r:id="rId17">
        <w:r>
          <w:rPr>
            <w:color w:val="0000FF"/>
          </w:rPr>
          <w:t>схемы 2д</w:t>
        </w:r>
      </w:hyperlink>
      <w:r>
        <w:t xml:space="preserve"> и </w:t>
      </w:r>
      <w:hyperlink r:id="rId18">
        <w:r>
          <w:rPr>
            <w:color w:val="0000FF"/>
          </w:rPr>
          <w:t>4д</w:t>
        </w:r>
      </w:hyperlink>
      <w:r>
        <w:t>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57. При сертификации оборудования и (или) покрытия заявителем может быть: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а) для </w:t>
      </w:r>
      <w:hyperlink r:id="rId19">
        <w:r>
          <w:rPr>
            <w:color w:val="0000FF"/>
          </w:rPr>
          <w:t>схем 1с</w:t>
        </w:r>
      </w:hyperlink>
      <w:r>
        <w:t xml:space="preserve"> и </w:t>
      </w:r>
      <w:hyperlink r:id="rId20">
        <w:r>
          <w:rPr>
            <w:color w:val="0000FF"/>
          </w:rPr>
          <w:t>2с</w:t>
        </w:r>
      </w:hyperlink>
      <w:r>
        <w:t xml:space="preserve"> - изготовитель (уполномоченное изготовителем лицо);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б) для </w:t>
      </w:r>
      <w:hyperlink r:id="rId21">
        <w:r>
          <w:rPr>
            <w:color w:val="0000FF"/>
          </w:rPr>
          <w:t>схем 3с</w:t>
        </w:r>
      </w:hyperlink>
      <w:r>
        <w:t xml:space="preserve"> и </w:t>
      </w:r>
      <w:hyperlink r:id="rId22">
        <w:r>
          <w:rPr>
            <w:color w:val="0000FF"/>
          </w:rPr>
          <w:t>4с</w:t>
        </w:r>
      </w:hyperlink>
      <w:r>
        <w:t xml:space="preserve"> - изготовитель (уполномоченное изготовителем лицо) или продавец.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58. Выбор схемы сертификации оборудования и (или) покрытия осуществляется заявителем.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59. При сертификации оборудования и (или) покрытия заявитель: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а) предпринимает все необходимые меры, чтобы процесс производства был стабильным и обеспечивал соответствие производимых оборудования и (или) покрытия требованиям настоящего технического регламента (</w:t>
      </w:r>
      <w:hyperlink r:id="rId23">
        <w:r>
          <w:rPr>
            <w:color w:val="0000FF"/>
          </w:rPr>
          <w:t>схемы 1с</w:t>
        </w:r>
      </w:hyperlink>
      <w:r>
        <w:t xml:space="preserve"> и </w:t>
      </w:r>
      <w:hyperlink r:id="rId24">
        <w:r>
          <w:rPr>
            <w:color w:val="0000FF"/>
          </w:rPr>
          <w:t>2с</w:t>
        </w:r>
      </w:hyperlink>
      <w:r>
        <w:t>);</w:t>
      </w:r>
    </w:p>
    <w:p w:rsidR="00C55397" w:rsidRDefault="00C55397">
      <w:pPr>
        <w:pStyle w:val="ConsPlusNormal"/>
        <w:spacing w:before="200"/>
        <w:ind w:firstLine="540"/>
        <w:jc w:val="both"/>
      </w:pPr>
      <w:bookmarkStart w:id="6" w:name="P244"/>
      <w:bookmarkEnd w:id="6"/>
      <w:r>
        <w:t>б) формирует техническую документацию, в том числе: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паспорт (для оборудования);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конструкторскую документацию (</w:t>
      </w:r>
      <w:hyperlink r:id="rId25">
        <w:r>
          <w:rPr>
            <w:color w:val="0000FF"/>
          </w:rPr>
          <w:t>схемы 1с</w:t>
        </w:r>
      </w:hyperlink>
      <w:r>
        <w:t xml:space="preserve"> и </w:t>
      </w:r>
      <w:hyperlink r:id="rId26">
        <w:r>
          <w:rPr>
            <w:color w:val="0000FF"/>
          </w:rPr>
          <w:t>2с</w:t>
        </w:r>
      </w:hyperlink>
      <w:r>
        <w:t>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документ, по которому изготовлено оборудование и (или) покрытие (</w:t>
      </w:r>
      <w:hyperlink r:id="rId27">
        <w:r>
          <w:rPr>
            <w:color w:val="0000FF"/>
          </w:rPr>
          <w:t>схемы 1с</w:t>
        </w:r>
      </w:hyperlink>
      <w:r>
        <w:t xml:space="preserve"> и </w:t>
      </w:r>
      <w:hyperlink r:id="rId28">
        <w:r>
          <w:rPr>
            <w:color w:val="0000FF"/>
          </w:rPr>
          <w:t>2с</w:t>
        </w:r>
      </w:hyperlink>
      <w:r>
        <w:t>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lastRenderedPageBreak/>
        <w:t>результаты прочностных расчетов оборудования и (или) покрытия;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протокол (протоколы) испытаний оборудования и (или) покрытия, проведенных изготовителем в аккредитованной испытательной лаборатории (центре), включенной в Единый реестр органов по оценке соответствия Евразийского экономического союза (далее - испытательная лаборатория (центр));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сертификаты соответствия и декларации о соответствии или протокол (протоколы) испытаний в отношении материалов и комплектующих изделий (при наличии);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сертификат на систему менеджмента (копию сертификата) </w:t>
      </w:r>
      <w:hyperlink r:id="rId29">
        <w:r>
          <w:rPr>
            <w:color w:val="0000FF"/>
          </w:rPr>
          <w:t>(схема 2с)</w:t>
        </w:r>
      </w:hyperlink>
      <w:r>
        <w:t>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контракт (договор на поставку) и товаросопроводительную документацию для партии и единичного изделия оборудования и (или) покрытия (</w:t>
      </w:r>
      <w:hyperlink r:id="rId30">
        <w:r>
          <w:rPr>
            <w:color w:val="0000FF"/>
          </w:rPr>
          <w:t>схемы 3с</w:t>
        </w:r>
      </w:hyperlink>
      <w:r>
        <w:t xml:space="preserve"> и </w:t>
      </w:r>
      <w:hyperlink r:id="rId31">
        <w:r>
          <w:rPr>
            <w:color w:val="0000FF"/>
          </w:rPr>
          <w:t>4с</w:t>
        </w:r>
      </w:hyperlink>
      <w:r>
        <w:t>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в) подает заявку на сертификацию оборудования и (или) покрытия с приложением технической документации, предусмотренной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в аккредитованный орган по сертификации, включенный в Единый реестр органов по оценке соответствия Евразийского экономического союза (далее - орган по сертификации).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В заявке указывается документ, на соответствие которому сертифицирована система менеджмента </w:t>
      </w:r>
      <w:hyperlink r:id="rId32">
        <w:r>
          <w:rPr>
            <w:color w:val="0000FF"/>
          </w:rPr>
          <w:t>(схема 2с)</w:t>
        </w:r>
      </w:hyperlink>
      <w:r>
        <w:t>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В заявке должны содержаться идентифицирующие признаки партии (размер партии, реквизиты товаросопроводительной документации, идентифицирующей эту партию) и входящих в нее единиц оборудования и (или) покрытия (наименование, тип, вид и др. (при наличии)) (</w:t>
      </w:r>
      <w:hyperlink r:id="rId33">
        <w:r>
          <w:rPr>
            <w:color w:val="0000FF"/>
          </w:rPr>
          <w:t>схемы 3с</w:t>
        </w:r>
      </w:hyperlink>
      <w:r>
        <w:t xml:space="preserve"> и </w:t>
      </w:r>
      <w:hyperlink r:id="rId34">
        <w:r>
          <w:rPr>
            <w:color w:val="0000FF"/>
          </w:rPr>
          <w:t>4с</w:t>
        </w:r>
      </w:hyperlink>
      <w:r>
        <w:t>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г) наносит единый знак обращения продукции на рынке Союза после завершения процедуры подтверждения соответствия;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д) извещает в письменной форме орган по сертификации о внесении изменений в конструкцию оборудования и (или) покрытия или технологию их производства, которые могут повлиять на соответствие оборудования и (или) покрытия требованиям настоящего технического регламента </w:t>
      </w:r>
      <w:hyperlink r:id="rId35">
        <w:r>
          <w:rPr>
            <w:color w:val="0000FF"/>
          </w:rPr>
          <w:t>(схема 1с)</w:t>
        </w:r>
      </w:hyperlink>
      <w:r>
        <w:t>;</w:t>
      </w:r>
    </w:p>
    <w:p w:rsidR="00C55397" w:rsidRDefault="00C55397">
      <w:pPr>
        <w:pStyle w:val="ConsPlusNormal"/>
        <w:spacing w:before="200"/>
        <w:ind w:firstLine="540"/>
        <w:jc w:val="both"/>
      </w:pPr>
      <w:bookmarkStart w:id="7" w:name="P261"/>
      <w:bookmarkEnd w:id="7"/>
      <w:r>
        <w:t xml:space="preserve">е) формирует после завершения процедуры подтверждения соответствия техническую документацию, предусмотренную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протокол (протоколы) испытаний оборудования и (или) покрытия, акт анализа состояния производства изготовителя </w:t>
      </w:r>
      <w:hyperlink r:id="rId36">
        <w:r>
          <w:rPr>
            <w:color w:val="0000FF"/>
          </w:rPr>
          <w:t>(схема 1с)</w:t>
        </w:r>
      </w:hyperlink>
      <w:r>
        <w:t xml:space="preserve"> и сертификат соответствия.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60. При сертификации оборудования и (или) покрытия орган по сертификации: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а) анализирует заявку и техническую документацию, представленные заявителем, и информирует заявителя о решении о проведении сертификации (с указанием условий проведения сертификации) или об отказе в ней (с указанием причин);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б) проводит идентификацию и отбор образцов оборудования и (или) покрытия у заявителя для проведения испытаний;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в) обеспечивает проведение испытаний образцов оборудования и (или) покрытия (</w:t>
      </w:r>
      <w:hyperlink r:id="rId37">
        <w:r>
          <w:rPr>
            <w:color w:val="0000FF"/>
          </w:rPr>
          <w:t>схемы 1с</w:t>
        </w:r>
      </w:hyperlink>
      <w:r>
        <w:t xml:space="preserve">, </w:t>
      </w:r>
      <w:hyperlink r:id="rId38">
        <w:r>
          <w:rPr>
            <w:color w:val="0000FF"/>
          </w:rPr>
          <w:t>2с</w:t>
        </w:r>
      </w:hyperlink>
      <w:r>
        <w:t xml:space="preserve"> и </w:t>
      </w:r>
      <w:hyperlink r:id="rId39">
        <w:r>
          <w:rPr>
            <w:color w:val="0000FF"/>
          </w:rPr>
          <w:t>3с</w:t>
        </w:r>
      </w:hyperlink>
      <w:r>
        <w:t xml:space="preserve">) или единичного изделия оборудования и (или) покрытия </w:t>
      </w:r>
      <w:hyperlink r:id="rId40">
        <w:r>
          <w:rPr>
            <w:color w:val="0000FF"/>
          </w:rPr>
          <w:t>(схема 4с)</w:t>
        </w:r>
      </w:hyperlink>
      <w:r>
        <w:t xml:space="preserve"> в испытательной лаборатории (центре);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lastRenderedPageBreak/>
        <w:t xml:space="preserve">г) проводит анализ состояния производства у изготовителя, результаты которого оформляются соответствующим актом </w:t>
      </w:r>
      <w:hyperlink r:id="rId41">
        <w:r>
          <w:rPr>
            <w:color w:val="0000FF"/>
          </w:rPr>
          <w:t>(схема 1с)</w:t>
        </w:r>
      </w:hyperlink>
      <w:r>
        <w:t>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д) при положительных результатах испытаний образцов оборудования и (или) покрытия, анализа состояния производства </w:t>
      </w:r>
      <w:hyperlink r:id="rId42">
        <w:r>
          <w:rPr>
            <w:color w:val="0000FF"/>
          </w:rPr>
          <w:t>(схема 1с)</w:t>
        </w:r>
      </w:hyperlink>
      <w:r>
        <w:t xml:space="preserve"> и анализа представленной заявителем технической документации оформляет сертификат соответствия по единой </w:t>
      </w:r>
      <w:hyperlink r:id="rId43">
        <w:r>
          <w:rPr>
            <w:color w:val="0000FF"/>
          </w:rPr>
          <w:t>форме</w:t>
        </w:r>
      </w:hyperlink>
      <w:r>
        <w:t>, утвержденной Решением Коллегии Евразийской экономической комиссии от 25 декабря 2012 г. N 293, который выдается заявителю;</w:t>
      </w:r>
    </w:p>
    <w:p w:rsidR="00C55397" w:rsidRDefault="00C553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53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397" w:rsidRDefault="00C553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5397" w:rsidRDefault="00C55397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</w:tr>
    </w:tbl>
    <w:p w:rsidR="00C55397" w:rsidRDefault="00C55397">
      <w:pPr>
        <w:pStyle w:val="ConsPlusNormal"/>
        <w:spacing w:before="260"/>
        <w:ind w:firstLine="540"/>
        <w:jc w:val="both"/>
      </w:pPr>
      <w:r>
        <w:t xml:space="preserve">е) проводит инспекционный контроль за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(или) анализа состояния производства </w:t>
      </w:r>
      <w:hyperlink r:id="rId45">
        <w:r>
          <w:rPr>
            <w:color w:val="0000FF"/>
          </w:rPr>
          <w:t>(схема 1с)</w:t>
        </w:r>
      </w:hyperlink>
      <w:r>
        <w:t>;</w:t>
      </w:r>
    </w:p>
    <w:p w:rsidR="00C55397" w:rsidRDefault="00C553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53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397" w:rsidRDefault="00C553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5397" w:rsidRDefault="00C55397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</w:tr>
    </w:tbl>
    <w:p w:rsidR="00C55397" w:rsidRDefault="00C55397">
      <w:pPr>
        <w:pStyle w:val="ConsPlusNormal"/>
        <w:spacing w:before="260"/>
        <w:ind w:firstLine="540"/>
        <w:jc w:val="both"/>
      </w:pPr>
      <w:r>
        <w:t xml:space="preserve">ж) проводит инспекционный контроль за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проведения анализа результатов инспекционного контроля органом по сертификации систем менеджмента за сертифицированной системой менеджмента </w:t>
      </w:r>
      <w:hyperlink r:id="rId47">
        <w:r>
          <w:rPr>
            <w:color w:val="0000FF"/>
          </w:rPr>
          <w:t>(схема 2с)</w:t>
        </w:r>
      </w:hyperlink>
      <w:r>
        <w:t>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з) по результатам инспекционного контроля: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подтверждает действие сертификата соответствия, о чем указывает в акте инспекционного контроля;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при отрицательных результатах инспекционного контроля принимает решение о приостановлении либо отмене действия сертификата соответствия.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Доводит решение о результатах инспекционного контроля до заявителя;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и) вносит сведения о сертификате соответствия в Единый реестр выданных или принятых документов об оценке соответствия Евразийского экономического союза.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61. В случае проведения сертификации по схемам, предусматривающим сертификацию систем менеджмента, работы по сертификации систем менеджмента осуществляет орган по сертификации систем менеджмента, зарегистрированный на территории государства-члена и аккредитованный в соответствии с законодательством этого государства-члена.</w:t>
      </w:r>
    </w:p>
    <w:p w:rsidR="00C55397" w:rsidRDefault="00C553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53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397" w:rsidRDefault="00C553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5397" w:rsidRDefault="00C55397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</w:tr>
    </w:tbl>
    <w:p w:rsidR="00C55397" w:rsidRDefault="00C55397">
      <w:pPr>
        <w:pStyle w:val="ConsPlusNormal"/>
        <w:spacing w:before="260"/>
        <w:ind w:firstLine="540"/>
        <w:jc w:val="both"/>
      </w:pPr>
      <w:r>
        <w:t>62. Срок действия сертификата соответствия для оборудования и (или) покрытия, выпускаемых серийно, - не более 5 лет, для партии оборудования и (или) покрытия (единичного изделия) срок действия сертификата соответствия не устанавливается.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63. Комплект документов, формируемый после сертификации оборудования и (или) покрытия, указанный в </w:t>
      </w:r>
      <w:hyperlink w:anchor="P261">
        <w:r>
          <w:rPr>
            <w:color w:val="0000FF"/>
          </w:rPr>
          <w:t>подпункте "е" пункта 59</w:t>
        </w:r>
      </w:hyperlink>
      <w:r>
        <w:t xml:space="preserve"> настоящего технического регламента, должен храниться у заявителя и в органе по сертификации в течение следующих сроков: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lastRenderedPageBreak/>
        <w:t>на оборудование и (или) покрытие, выпускаемые серийно, - не менее 10 лет со дня прекращения действия сертификата соответствия;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на партию продукции (единичное изделие) - не менее 10 лет со дня реализации последнего изделия оборудования и (или) покрытия из партии продукции (единичного изделия).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64. При декларировании соответствия оборудования и (или) покрытия заявителем может быть: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а) для </w:t>
      </w:r>
      <w:hyperlink r:id="rId49">
        <w:r>
          <w:rPr>
            <w:color w:val="0000FF"/>
          </w:rPr>
          <w:t>схем 1д</w:t>
        </w:r>
      </w:hyperlink>
      <w:r>
        <w:t xml:space="preserve"> и </w:t>
      </w:r>
      <w:hyperlink r:id="rId50">
        <w:r>
          <w:rPr>
            <w:color w:val="0000FF"/>
          </w:rPr>
          <w:t>3д</w:t>
        </w:r>
      </w:hyperlink>
      <w:r>
        <w:t xml:space="preserve"> - изготовитель (уполномоченное изготовителем лицо);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б) для </w:t>
      </w:r>
      <w:hyperlink r:id="rId51">
        <w:r>
          <w:rPr>
            <w:color w:val="0000FF"/>
          </w:rPr>
          <w:t>схем 2д</w:t>
        </w:r>
      </w:hyperlink>
      <w:r>
        <w:t xml:space="preserve"> и </w:t>
      </w:r>
      <w:hyperlink r:id="rId52">
        <w:r>
          <w:rPr>
            <w:color w:val="0000FF"/>
          </w:rPr>
          <w:t>4д</w:t>
        </w:r>
      </w:hyperlink>
      <w:r>
        <w:t xml:space="preserve"> - изготовитель (уполномоченное изготовителем лицо) или продавец.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65. Выбор схемы декларирования соответствия оборудования и (или) покрытия осуществляется заявителем.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66. Декларирование соответствия оборудования и (или) покрытия по </w:t>
      </w:r>
      <w:hyperlink r:id="rId53">
        <w:r>
          <w:rPr>
            <w:color w:val="0000FF"/>
          </w:rPr>
          <w:t>схемам 1д</w:t>
        </w:r>
      </w:hyperlink>
      <w:r>
        <w:t xml:space="preserve"> и </w:t>
      </w:r>
      <w:hyperlink r:id="rId54">
        <w:r>
          <w:rPr>
            <w:color w:val="0000FF"/>
          </w:rPr>
          <w:t>2д</w:t>
        </w:r>
      </w:hyperlink>
      <w:r>
        <w:t xml:space="preserve"> осуществляется заявителем на основании собственных доказательств. Испытания образцов оборудования и (или) покрытия по выбору заявителя проводятся в собственной испытательной лаборатории заявителя и (или) испытательной лабораторией (центром).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Декларирование соответствия оборудования и (или) покрытия по </w:t>
      </w:r>
      <w:hyperlink r:id="rId55">
        <w:r>
          <w:rPr>
            <w:color w:val="0000FF"/>
          </w:rPr>
          <w:t>схемам 3д</w:t>
        </w:r>
      </w:hyperlink>
      <w:r>
        <w:t xml:space="preserve"> и </w:t>
      </w:r>
      <w:hyperlink r:id="rId56">
        <w:r>
          <w:rPr>
            <w:color w:val="0000FF"/>
          </w:rPr>
          <w:t>4д</w:t>
        </w:r>
      </w:hyperlink>
      <w:r>
        <w:t xml:space="preserve">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67. При декларировании соответствия оборудования и (или) покрытия заявитель:</w:t>
      </w:r>
    </w:p>
    <w:p w:rsidR="00C55397" w:rsidRDefault="00C55397">
      <w:pPr>
        <w:pStyle w:val="ConsPlusNormal"/>
        <w:spacing w:before="200"/>
        <w:ind w:firstLine="540"/>
        <w:jc w:val="both"/>
      </w:pPr>
      <w:bookmarkStart w:id="8" w:name="P294"/>
      <w:bookmarkEnd w:id="8"/>
      <w:r>
        <w:t>а) формирует и анализирует документы, подтверждающие соответствие оборудования и (или) покрытия требованиям настоящего технического регламента, в том числе: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паспорт (для оборудования);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конструкторскую документацию (</w:t>
      </w:r>
      <w:hyperlink r:id="rId57">
        <w:r>
          <w:rPr>
            <w:color w:val="0000FF"/>
          </w:rPr>
          <w:t>схемы 1д</w:t>
        </w:r>
      </w:hyperlink>
      <w:r>
        <w:t xml:space="preserve"> и </w:t>
      </w:r>
      <w:hyperlink r:id="rId58">
        <w:r>
          <w:rPr>
            <w:color w:val="0000FF"/>
          </w:rPr>
          <w:t>3д</w:t>
        </w:r>
      </w:hyperlink>
      <w:r>
        <w:t>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документ, по которому произведено оборудование и (или) покрытие (</w:t>
      </w:r>
      <w:hyperlink r:id="rId59">
        <w:r>
          <w:rPr>
            <w:color w:val="0000FF"/>
          </w:rPr>
          <w:t>схемы 1д</w:t>
        </w:r>
      </w:hyperlink>
      <w:r>
        <w:t xml:space="preserve"> и </w:t>
      </w:r>
      <w:hyperlink r:id="rId60">
        <w:r>
          <w:rPr>
            <w:color w:val="0000FF"/>
          </w:rPr>
          <w:t>3д</w:t>
        </w:r>
      </w:hyperlink>
      <w:r>
        <w:t>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результаты прочностных расчетов;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протокол (протоколы) испытаний образцов оборудования и (или) покрытия, проведенных в собственной испытательной лаборатории заявителя и (или) испытательной лабораторией (центром);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сертификаты соответствия, декларации о соответствии или протоколы испытаний в отношении материалов и комплектующих изделий (при наличии);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контракт (договор на поставку) и товаросопроводительную документацию для партии продукции (единичного изделия) (</w:t>
      </w:r>
      <w:hyperlink r:id="rId61">
        <w:r>
          <w:rPr>
            <w:color w:val="0000FF"/>
          </w:rPr>
          <w:t>схемы 2д</w:t>
        </w:r>
      </w:hyperlink>
      <w:r>
        <w:t xml:space="preserve"> и </w:t>
      </w:r>
      <w:hyperlink r:id="rId62">
        <w:r>
          <w:rPr>
            <w:color w:val="0000FF"/>
          </w:rPr>
          <w:t>4д</w:t>
        </w:r>
      </w:hyperlink>
      <w:r>
        <w:t>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б) проводит идентификацию оборудования и (или) покрытия в соответствии с </w:t>
      </w:r>
      <w:hyperlink w:anchor="P77">
        <w:r>
          <w:rPr>
            <w:color w:val="0000FF"/>
          </w:rPr>
          <w:t>разделом III</w:t>
        </w:r>
      </w:hyperlink>
      <w:r>
        <w:t xml:space="preserve"> настоящего технического регламента;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в) обеспечивает проведение производственного контроля и принимает необходимые меры </w:t>
      </w:r>
      <w:r>
        <w:lastRenderedPageBreak/>
        <w:t>для обеспечения соответствия процесса производства оборудования и (или) покрытия требованиям настоящего технического регламента;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г) принимает декларацию о соответствии, которая оформляется по единой </w:t>
      </w:r>
      <w:hyperlink r:id="rId63">
        <w:r>
          <w:rPr>
            <w:color w:val="0000FF"/>
          </w:rPr>
          <w:t>форме</w:t>
        </w:r>
      </w:hyperlink>
      <w:r>
        <w:t xml:space="preserve"> и </w:t>
      </w:r>
      <w:hyperlink r:id="rId64">
        <w:r>
          <w:rPr>
            <w:color w:val="0000FF"/>
          </w:rPr>
          <w:t>правилам</w:t>
        </w:r>
      </w:hyperlink>
      <w:r>
        <w:t>, утвержденным Решением Коллегии Евразийской экономической комиссии от 25 декабря 2012 г. N 293;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д) наносит единый знак обращения продукции на рынке Союза после завершения процедуры декларирования соответствия;</w:t>
      </w:r>
    </w:p>
    <w:p w:rsidR="00C55397" w:rsidRDefault="00C55397">
      <w:pPr>
        <w:pStyle w:val="ConsPlusNormal"/>
        <w:spacing w:before="200"/>
        <w:ind w:firstLine="540"/>
        <w:jc w:val="both"/>
      </w:pPr>
      <w:bookmarkStart w:id="9" w:name="P309"/>
      <w:bookmarkEnd w:id="9"/>
      <w:r>
        <w:t xml:space="preserve">е) формирует после завершения процедуры декларирования соответствия оборудования и (или) покрытия комплект документов, который включает в себя документы, предусмотренные </w:t>
      </w:r>
      <w:hyperlink w:anchor="P294">
        <w:r>
          <w:rPr>
            <w:color w:val="0000FF"/>
          </w:rPr>
          <w:t>подпунктом "а"</w:t>
        </w:r>
      </w:hyperlink>
      <w:r>
        <w:t xml:space="preserve"> настоящего пункта, и декларацию о соответствии.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68. Декларация о соответствии подлежит </w:t>
      </w:r>
      <w:hyperlink r:id="rId65">
        <w:r>
          <w:rPr>
            <w:color w:val="0000FF"/>
          </w:rPr>
          <w:t>регистрации</w:t>
        </w:r>
      </w:hyperlink>
      <w:r>
        <w:t xml:space="preserve"> в порядке, установленном </w:t>
      </w:r>
      <w:hyperlink r:id="rId66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9 апреля 2013 г. N 76.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69. Комплект документов, формируемый после декларирования соответствия оборудования и (или) покрытия, указанный в </w:t>
      </w:r>
      <w:hyperlink w:anchor="P309">
        <w:r>
          <w:rPr>
            <w:color w:val="0000FF"/>
          </w:rPr>
          <w:t>подпункте "е" пункта 67</w:t>
        </w:r>
      </w:hyperlink>
      <w:r>
        <w:t xml:space="preserve"> настоящего технического регламента, должен храниться у заявителя в течение следующих сроков: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на оборудование и (или) покрытие, выпускаемые серийно, - не менее 5 лет со дня прекращения действия декларации о соответствии;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на партию продукции (единичное изделие) - не менее 5 лет со дня реализации последнего изделия оборудования и (или) покрытия из партии продукции (единичного изделия).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C55397" w:rsidRDefault="00C553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53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397" w:rsidRDefault="00C553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5397" w:rsidRDefault="00C55397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397" w:rsidRDefault="00C55397">
            <w:pPr>
              <w:pStyle w:val="ConsPlusNormal"/>
            </w:pPr>
          </w:p>
        </w:tc>
      </w:tr>
    </w:tbl>
    <w:p w:rsidR="00C55397" w:rsidRDefault="00C55397">
      <w:pPr>
        <w:pStyle w:val="ConsPlusNormal"/>
        <w:spacing w:before="260"/>
        <w:ind w:firstLine="540"/>
        <w:jc w:val="both"/>
      </w:pPr>
      <w:r>
        <w:t>70. Срок действия декларации о соответствии при декларировании соответствия на серийный выпуск оборудования и (или) покрытия составляет не более 5 лет. Для партии оборудования и (или) покрытия (единичного изделия) срок действия декларации о соответствии не устанавливается.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71. После выпуска в обращение в течение назначенного срока службы аккредитованной (уполномоченной) организацией осуществляется оценка соответствия оборудования и (или) покрытия в форме оценки технического состояния (технического освидетельствования).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Порядок проведения оценки технического состояния (технического освидетельствования), а также порядок аккредитации (уполномочивания) организации на проведение оценки технического состояния (технического освидетельствования) устанавливается законодательством государств-членов.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1"/>
      </w:pPr>
      <w:r>
        <w:t>X. Маркировка оборудования и (или) покрытия единым знаком</w:t>
      </w:r>
    </w:p>
    <w:p w:rsidR="00C55397" w:rsidRDefault="00C55397">
      <w:pPr>
        <w:pStyle w:val="ConsPlusNormal"/>
        <w:jc w:val="center"/>
      </w:pPr>
      <w:r>
        <w:t>обращения продукции на рынке Союза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72. Оборудование и (или) покрытие, соответствующие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распространяется, и прошедшие процедуру подтверждения соответствия, маркируются единым знаком обращения продукции на рынке Союза.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73. Маркировка единым знаком обращения продукции на рынке Союза осуществляется перед выпуском оборудования и (или) покрытия в обращение на этом рынке.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74. Единый знак обращения продукции на рынке Союза наносится на каждую единицу оборудования и (или) покрытия любым способом, обеспечивающим четкое и ясное изображение в течение всего срока службы оборудования и (или) покрытия, а также приводится в прилагаемом </w:t>
      </w:r>
      <w:r>
        <w:lastRenderedPageBreak/>
        <w:t>паспорте. Допускаются нанесение единого знака обращения продукции на рынке Союза только на упаковку и его указание в прилагаемом паспорте, если знак невозможно нанести непосредственно на оборудование и (или) покрытие.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75. Маркировка оборудования и (или) покрытия единым знаком обращения продукции на рынке Союза свидетельствует о соответствии их требованиям всех технических регламентов Союза (Таможенного союза), распространяющихся на это оборудование и (или) покрытие и предусматривающих нанесение единого знака обращения продукции на рынке Союза.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1"/>
      </w:pPr>
      <w:r>
        <w:t>XI. Государственный контроль (надзор)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76. Государственный контроль (надзор) за соблюдением требований настоящего технического регламента проводится в соответствии с законодательством государств-членов.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right"/>
        <w:outlineLvl w:val="1"/>
      </w:pPr>
      <w:r>
        <w:t>Приложение N 1</w:t>
      </w:r>
    </w:p>
    <w:p w:rsidR="00C55397" w:rsidRDefault="00C55397">
      <w:pPr>
        <w:pStyle w:val="ConsPlusNormal"/>
        <w:jc w:val="right"/>
      </w:pPr>
      <w:r>
        <w:t>к техническому регламенту</w:t>
      </w:r>
    </w:p>
    <w:p w:rsidR="00C55397" w:rsidRDefault="00C55397">
      <w:pPr>
        <w:pStyle w:val="ConsPlusNormal"/>
        <w:jc w:val="right"/>
      </w:pPr>
      <w:r>
        <w:t>Евразийского экономического союза</w:t>
      </w:r>
    </w:p>
    <w:p w:rsidR="00C55397" w:rsidRDefault="00C55397">
      <w:pPr>
        <w:pStyle w:val="ConsPlusNormal"/>
        <w:jc w:val="right"/>
      </w:pPr>
      <w:r>
        <w:t>"О безопасности оборудования</w:t>
      </w:r>
    </w:p>
    <w:p w:rsidR="00C55397" w:rsidRDefault="00C55397">
      <w:pPr>
        <w:pStyle w:val="ConsPlusNormal"/>
        <w:jc w:val="right"/>
      </w:pPr>
      <w:r>
        <w:t>для детских игровых площадок"</w:t>
      </w:r>
    </w:p>
    <w:p w:rsidR="00C55397" w:rsidRDefault="00C55397">
      <w:pPr>
        <w:pStyle w:val="ConsPlusNormal"/>
        <w:jc w:val="right"/>
      </w:pPr>
      <w:r>
        <w:t>(ТР ЕАЭС 042/2017)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</w:pPr>
      <w:bookmarkStart w:id="10" w:name="P344"/>
      <w:bookmarkEnd w:id="10"/>
      <w:r>
        <w:t>ПЕРЕЧЕНЬ</w:t>
      </w:r>
    </w:p>
    <w:p w:rsidR="00C55397" w:rsidRDefault="00C55397">
      <w:pPr>
        <w:pStyle w:val="ConsPlusNormal"/>
        <w:jc w:val="center"/>
      </w:pPr>
      <w:r>
        <w:t>ПРОДУКЦИИ, НА КОТОРУЮ РАСПРОСТРАНЯЮТСЯ ТРЕБОВАНИЯ</w:t>
      </w:r>
    </w:p>
    <w:p w:rsidR="00C55397" w:rsidRDefault="00C55397">
      <w:pPr>
        <w:pStyle w:val="ConsPlusNormal"/>
        <w:jc w:val="center"/>
      </w:pPr>
      <w:r>
        <w:t>ТЕХНИЧЕСКОГО РЕГЛАМЕНТА ЕВРАЗИЙСКОГО ЭКОНОМИЧЕСКОГО СОЮЗА</w:t>
      </w:r>
    </w:p>
    <w:p w:rsidR="00C55397" w:rsidRDefault="00C55397">
      <w:pPr>
        <w:pStyle w:val="ConsPlusNormal"/>
        <w:jc w:val="center"/>
      </w:pPr>
      <w:r>
        <w:t>"О БЕЗОПАСНОСТИ ОБОРУДОВАНИЯ ДЛЯ ДЕТСКИХ ИГРОВЫХ ПЛОЩАДОК"</w:t>
      </w:r>
    </w:p>
    <w:p w:rsidR="00C55397" w:rsidRDefault="00C55397">
      <w:pPr>
        <w:pStyle w:val="ConsPlusNormal"/>
        <w:jc w:val="center"/>
      </w:pPr>
      <w:r>
        <w:t>(ТР ЕАЭС 042/2017)</w:t>
      </w:r>
    </w:p>
    <w:p w:rsidR="00C55397" w:rsidRDefault="00C553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91"/>
        <w:gridCol w:w="3912"/>
      </w:tblGrid>
      <w:tr w:rsidR="00C5539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Вид оборудования, покрытия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Характеристика вида оборудования, покрытия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Тип оборудования, покрытия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1. Горка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отдельно стоящая горка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пристраиваемая горка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горка-волна (волнообразная горка)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горка "на склоне" (горка на склоне холма, насыпи, берега)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спиральная горка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криволинейная горка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тоннельная горка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комбинированная тоннельная горка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горка с несколькими трассами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2. Качели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качели с одной осью вращения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качели с несколькими осями вращения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качели с одной точкой подвеса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качели коллективные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3. Качалка детской </w:t>
            </w:r>
            <w:r>
              <w:lastRenderedPageBreak/>
              <w:t>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lastRenderedPageBreak/>
              <w:t xml:space="preserve">оборудование для детской </w:t>
            </w:r>
            <w:r>
              <w:lastRenderedPageBreak/>
              <w:t>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lastRenderedPageBreak/>
              <w:t>качалка-балансир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качалка с одной опорой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качалка с одной опорой, обеспечивающая при качании движение ребенка (детей) в нескольких плоскостях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качалка с несколькими опорами, обеспечивающая при качании движение ребенка (детей) в нескольких плоскостях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шатунная качалка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качалка с одной осью качания, расположенной на высоте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качалка с вращением вокруг центральной оси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4. Карусель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вращающиеся кресла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вращающаяся платформа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вращающийся гриб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планирование в воздухе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движение по круговой колее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большой вращающийся диск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5. Канатная дорога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канатная дорога: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283"/>
            </w:pPr>
            <w:r>
              <w:t>с подвесной рукояткой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283"/>
            </w:pPr>
            <w:r>
              <w:t>с сиденьем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6. Детский городок (игровой комплекс), игровое оборудование, оборудование и элементы детских городков (игровых комплексов)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оборудование для детской игровой площадки, предназначенное для игры, физического развития, воспитания ловкости и смелости детей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детский городок (игровой комплекс)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оборудование и элементы детских городков (игровых комплексов):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  <w:jc w:val="both"/>
            </w:pPr>
            <w:r>
              <w:t>башня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  <w:jc w:val="both"/>
            </w:pPr>
            <w:r>
              <w:t>рукоход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  <w:jc w:val="both"/>
            </w:pPr>
            <w:r>
              <w:t>стенка шведская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  <w:jc w:val="both"/>
            </w:pPr>
            <w:r>
              <w:t>стенка для лазания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  <w:jc w:val="both"/>
            </w:pPr>
            <w:r>
              <w:t>тоннель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  <w:jc w:val="both"/>
            </w:pPr>
            <w:r>
              <w:t>мостик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  <w:jc w:val="both"/>
            </w:pPr>
            <w:r>
              <w:t>трап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  <w:jc w:val="both"/>
            </w:pPr>
            <w:r>
              <w:t>лестница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  <w:jc w:val="both"/>
            </w:pPr>
            <w:r>
              <w:t>спираль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  <w:jc w:val="both"/>
            </w:pPr>
            <w:r>
              <w:t>шест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  <w:jc w:val="both"/>
            </w:pPr>
            <w:r>
              <w:t>гибкие элементы для лазания (лестница, сеть, паутина)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ind w:left="540"/>
            </w:pPr>
            <w:r>
              <w:t>игровое оборудование, в том числе песочница, игровой домик, лабиринт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  <w:r>
              <w:t>7. Ударопоглощающее покрытие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  <w: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покрытие песчаное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покрытие гравийное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покрытие дерновое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покрытие из дробленой древесины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покрытие резиновое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  <w:r>
              <w:t>покрытие синтетическое</w:t>
            </w:r>
          </w:p>
        </w:tc>
      </w:tr>
    </w:tbl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right"/>
        <w:outlineLvl w:val="1"/>
      </w:pPr>
      <w:r>
        <w:t>Приложение N 2</w:t>
      </w:r>
    </w:p>
    <w:p w:rsidR="00C55397" w:rsidRDefault="00C55397">
      <w:pPr>
        <w:pStyle w:val="ConsPlusNormal"/>
        <w:jc w:val="right"/>
      </w:pPr>
      <w:r>
        <w:t>к техническому регламенту</w:t>
      </w:r>
    </w:p>
    <w:p w:rsidR="00C55397" w:rsidRDefault="00C55397">
      <w:pPr>
        <w:pStyle w:val="ConsPlusNormal"/>
        <w:jc w:val="right"/>
      </w:pPr>
      <w:r>
        <w:t>Евразийского экономического союза</w:t>
      </w:r>
    </w:p>
    <w:p w:rsidR="00C55397" w:rsidRDefault="00C55397">
      <w:pPr>
        <w:pStyle w:val="ConsPlusNormal"/>
        <w:jc w:val="right"/>
      </w:pPr>
      <w:r>
        <w:t>"О безопасности оборудования</w:t>
      </w:r>
    </w:p>
    <w:p w:rsidR="00C55397" w:rsidRDefault="00C55397">
      <w:pPr>
        <w:pStyle w:val="ConsPlusNormal"/>
        <w:jc w:val="right"/>
      </w:pPr>
      <w:r>
        <w:t>для детских игровых площадок"</w:t>
      </w:r>
    </w:p>
    <w:p w:rsidR="00C55397" w:rsidRDefault="00C55397">
      <w:pPr>
        <w:pStyle w:val="ConsPlusNormal"/>
        <w:jc w:val="right"/>
      </w:pPr>
      <w:r>
        <w:t>(ТР ЕАЭС 042/2017)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</w:pPr>
      <w:bookmarkStart w:id="11" w:name="P429"/>
      <w:bookmarkEnd w:id="11"/>
      <w:r>
        <w:t>ТРЕБОВАНИЯ</w:t>
      </w:r>
    </w:p>
    <w:p w:rsidR="00C55397" w:rsidRDefault="00C55397">
      <w:pPr>
        <w:pStyle w:val="ConsPlusNormal"/>
        <w:jc w:val="center"/>
      </w:pPr>
      <w:r>
        <w:t>К ГИГИЕНИЧЕСКОЙ БЕЗОПАСНОСТИ МАТЕРИАЛОВ, ПРИМЕНЯЕМЫХ</w:t>
      </w:r>
    </w:p>
    <w:p w:rsidR="00C55397" w:rsidRDefault="00C55397">
      <w:pPr>
        <w:pStyle w:val="ConsPlusNormal"/>
        <w:jc w:val="center"/>
      </w:pPr>
      <w:r>
        <w:t>ПРИ ПРОИЗВОДСТВЕ ОБОРУДОВАНИЯ И ПОКРЫТИЯ ДЛЯ ДЕТСКИХ</w:t>
      </w:r>
    </w:p>
    <w:p w:rsidR="00C55397" w:rsidRDefault="00C55397">
      <w:pPr>
        <w:pStyle w:val="ConsPlusNormal"/>
        <w:jc w:val="center"/>
      </w:pPr>
      <w:r>
        <w:t>ИГРОВЫХ ПЛОЩАДОК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1. Интенсивность запаха материалов, применяемых при производстве оборудования и покрытия для детских игровых площадок (далее - материалы), не должна превышать 2 баллов.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2. Уровень напряженности электростатического поля на поверхности полимерных, полимерсодержащих материалов, синтетических и смешанных текстильных материалов в условиях эксплуатации не должен превышать 15,0 кВ/м.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3. Материалы не должны стимулировать рост и развитие микрофлоры, в том числе патогенной.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4. Удельная эффективная активность естественных радионуклидов в материалах на минеральной основе не должна превышать 370 Бк/кг. Допустимая удельная активность цезия-137 в древесине и древесносодержащих материалах не должна превышать 300 Бк/кг.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5. Защитно-декоративное покрытие оборудования и покрытий должно быть стойким к влажной обработке, оборудования - к действию слюны, пота и влаги.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6. Оборудование не должно оказывать местное кожно-раздражающее действие, или индекс токсичности оборудования, определяемый в водной среде (дистиллированная среда), должен быть в пределах от 70 до 120% включительно, в воздушной среде - от 80 до 120% включительно.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7. Материалы не должны выделять в окружающую среду летучие вещества в количествах, которые могут оказывать прямое или косвенное неблагоприятное действие на организм человека (с учетом совместного действия всех выделяющихся веществ).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 xml:space="preserve">8. Во время эксплуатации оборудования и покрытия в воздух не должны выделяться из материалов химические вещества, относящиеся к 1-му классу опасности (классификация </w:t>
      </w:r>
      <w:r>
        <w:lastRenderedPageBreak/>
        <w:t>проводится по общим требованиям к классификации опасной химической продукции в соответствии с законодательством государств - членов Евразийского экономического союза), а выделение остальных веществ не должно превышать гигиенические нормативы, указанные в таблице (при выделении из материалов нескольких химических веществ, обладающих суммацией действия, сумма отношений концентраций к их предельно допустимым концентрациям не должна превышать 1).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  <w:outlineLvl w:val="2"/>
      </w:pPr>
      <w:r>
        <w:t>Гигиенические нормативы выделения вредных веществ</w:t>
      </w:r>
    </w:p>
    <w:p w:rsidR="00C55397" w:rsidRDefault="00C55397">
      <w:pPr>
        <w:pStyle w:val="ConsPlusNormal"/>
        <w:jc w:val="center"/>
      </w:pPr>
      <w:r>
        <w:t>из материалов, применяемых при производстве оборудования</w:t>
      </w:r>
    </w:p>
    <w:p w:rsidR="00C55397" w:rsidRDefault="00C55397">
      <w:pPr>
        <w:pStyle w:val="ConsPlusNormal"/>
        <w:jc w:val="center"/>
      </w:pPr>
      <w:r>
        <w:t>и покрытия для детских игровых площадок</w:t>
      </w:r>
    </w:p>
    <w:p w:rsidR="00C55397" w:rsidRDefault="00C553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405"/>
        <w:gridCol w:w="1991"/>
        <w:gridCol w:w="2002"/>
      </w:tblGrid>
      <w:tr w:rsidR="00C55397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Наименование материала (вещества)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Санитарно-эпидемиологические требования</w:t>
            </w:r>
          </w:p>
        </w:tc>
      </w:tr>
      <w:tr w:rsidR="00C55397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допустимый уровень миграции в воздушную среду,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допустимый уровень миграции в водную среду, мг/дм</w:t>
            </w:r>
            <w:r>
              <w:rPr>
                <w:vertAlign w:val="superscript"/>
              </w:rPr>
              <w:t>3</w:t>
            </w:r>
          </w:p>
        </w:tc>
      </w:tr>
      <w:tr w:rsidR="00C55397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C55397" w:rsidRDefault="00C55397">
            <w:pPr>
              <w:pStyle w:val="ConsPlusNormal"/>
              <w:jc w:val="center"/>
            </w:pPr>
            <w:r>
              <w:t>4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  <w:outlineLvl w:val="3"/>
            </w:pPr>
            <w:r>
              <w:t>I. Полимерные и полимерсодержащие материалы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1. Поливинилхлорид пластифицированный (суспензионный и эмульсионный)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2,0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хлористый водород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2. Фенолформальдегидные, меламинформальдегидные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3. Карбамидные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4. Синтетические каучуки на основе бутадиена и сополимеров бутадиена с акрилонитрилом и стиролом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2,0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5. Полистирольные 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полистирол (блочный, суспензионный, ударопрочный), сополимер стирола с акрилонитрилом, АБС-пластики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сополимер стирола с метакрилатом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сополимер стирола с бутадиеном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вспененные полистиролы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both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6. Полиуретаны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бутилацетат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1,0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7. Эпоксидные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2,0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эпихлоргидрин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8. Полиэфирные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2,0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фталевый ангидрид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1,0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9. Полимерсодержащие материалы на основе винилового спирта и его производных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2,0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10. Полимерсодержащие материалы на основе акриловой и метакриловой кислот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2,0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11. Полимерсодержащие материалы на основе полиэтилена и полипропилена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12. Полиамид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2,0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13. Полимерсодержащие материалы на минеральной основе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ангидрид фосфорный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диоксид серы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14. Полимерсодержащие материалы на основе целлюлозы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lastRenderedPageBreak/>
              <w:t>15. Резина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2,0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16. Древесина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  <w:outlineLvl w:val="3"/>
            </w:pPr>
            <w:r>
              <w:t>II. Текстильные материалы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17. Натуральные из растительного сырья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18. Искусственные вискозные и ацетатные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19. Полиэфирные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диметилтерефталат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1,5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20. Полиамидные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гексаметилендиамин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21. Полиакрилонитрильные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диметилформамид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10,0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0,2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  <w:r>
              <w:t>22. Поливинилхлоридные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ацетон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0,01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2,0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55397" w:rsidRDefault="00C55397">
            <w:pPr>
              <w:pStyle w:val="ConsPlusNormal"/>
              <w:jc w:val="center"/>
            </w:pPr>
            <w:r>
              <w:t>0,05</w:t>
            </w:r>
          </w:p>
        </w:tc>
      </w:tr>
      <w:tr w:rsidR="00C553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97" w:rsidRDefault="00C55397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397" w:rsidRDefault="00C55397">
            <w:pPr>
              <w:pStyle w:val="ConsPlusNormal"/>
              <w:jc w:val="center"/>
            </w:pPr>
            <w:r>
              <w:t>0,1</w:t>
            </w:r>
          </w:p>
        </w:tc>
      </w:tr>
    </w:tbl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--------------------------------</w:t>
      </w:r>
    </w:p>
    <w:p w:rsidR="00C55397" w:rsidRDefault="00C55397">
      <w:pPr>
        <w:pStyle w:val="ConsPlusNormal"/>
        <w:spacing w:before="200"/>
        <w:ind w:firstLine="540"/>
        <w:jc w:val="both"/>
      </w:pPr>
      <w:bookmarkStart w:id="12" w:name="P837"/>
      <w:bookmarkEnd w:id="12"/>
      <w:r>
        <w:t>&lt;*&gt; Миграция химических веществ определяется только в воздушной среде.</w:t>
      </w:r>
    </w:p>
    <w:p w:rsidR="00C55397" w:rsidRDefault="00C55397">
      <w:pPr>
        <w:pStyle w:val="ConsPlusNormal"/>
        <w:spacing w:before="200"/>
        <w:ind w:firstLine="540"/>
        <w:jc w:val="both"/>
      </w:pPr>
      <w:bookmarkStart w:id="13" w:name="P838"/>
      <w:bookmarkEnd w:id="13"/>
      <w:r>
        <w:t>&lt;**&gt; Показатели являются взаимозаменяемыми.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Примечания: 1. Обязательной модельной средой при проведении санитарно-химических исследований является воздушная среда.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2. Из деталей оборудования, имеющих непосредственный контакт с кожей, миграция вредных химических веществ определяется только в водную модельную среду.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right"/>
        <w:outlineLvl w:val="1"/>
      </w:pPr>
      <w:r>
        <w:t>Приложение N 3</w:t>
      </w:r>
    </w:p>
    <w:p w:rsidR="00C55397" w:rsidRDefault="00C55397">
      <w:pPr>
        <w:pStyle w:val="ConsPlusNormal"/>
        <w:jc w:val="right"/>
      </w:pPr>
      <w:r>
        <w:t>к техническому регламенту</w:t>
      </w:r>
    </w:p>
    <w:p w:rsidR="00C55397" w:rsidRDefault="00C55397">
      <w:pPr>
        <w:pStyle w:val="ConsPlusNormal"/>
        <w:jc w:val="right"/>
      </w:pPr>
      <w:r>
        <w:t>Евразийского экономического союза</w:t>
      </w:r>
    </w:p>
    <w:p w:rsidR="00C55397" w:rsidRDefault="00C55397">
      <w:pPr>
        <w:pStyle w:val="ConsPlusNormal"/>
        <w:jc w:val="right"/>
      </w:pPr>
      <w:r>
        <w:t>"О безопасности оборудования</w:t>
      </w:r>
    </w:p>
    <w:p w:rsidR="00C55397" w:rsidRDefault="00C55397">
      <w:pPr>
        <w:pStyle w:val="ConsPlusNormal"/>
        <w:jc w:val="right"/>
      </w:pPr>
      <w:r>
        <w:t>для детских игровых площадок"</w:t>
      </w:r>
    </w:p>
    <w:p w:rsidR="00C55397" w:rsidRDefault="00C55397">
      <w:pPr>
        <w:pStyle w:val="ConsPlusNormal"/>
        <w:jc w:val="right"/>
      </w:pPr>
      <w:r>
        <w:t>(ТР ЕАЭС 042/2017)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</w:pPr>
      <w:bookmarkStart w:id="14" w:name="P854"/>
      <w:bookmarkEnd w:id="14"/>
      <w:r>
        <w:t>ПЕРЕЧЕНЬ</w:t>
      </w:r>
    </w:p>
    <w:p w:rsidR="00C55397" w:rsidRDefault="00C55397">
      <w:pPr>
        <w:pStyle w:val="ConsPlusNormal"/>
        <w:jc w:val="center"/>
      </w:pPr>
      <w:r>
        <w:t>ПРОДУКЦИИ, ПОДЛЕЖАЩЕЙ ОБЯЗАТЕЛЬНОМУ ПОДТВЕРЖДЕНИЮ</w:t>
      </w:r>
    </w:p>
    <w:p w:rsidR="00C55397" w:rsidRDefault="00C55397">
      <w:pPr>
        <w:pStyle w:val="ConsPlusNormal"/>
        <w:jc w:val="center"/>
      </w:pPr>
      <w:r>
        <w:t>СООТВЕТСТВИЯ ТРЕБОВАНИЯМ ТЕХНИЧЕСКОГО РЕГЛАМЕНТА</w:t>
      </w:r>
    </w:p>
    <w:p w:rsidR="00C55397" w:rsidRDefault="00C55397">
      <w:pPr>
        <w:pStyle w:val="ConsPlusNormal"/>
        <w:jc w:val="center"/>
      </w:pPr>
      <w:r>
        <w:t>ЕВРАЗИЙСКОГО ЭКОНОМИЧЕСКОГО СОЮЗА "О БЕЗОПАСНОСТИ</w:t>
      </w:r>
    </w:p>
    <w:p w:rsidR="00C55397" w:rsidRDefault="00C55397">
      <w:pPr>
        <w:pStyle w:val="ConsPlusNormal"/>
        <w:jc w:val="center"/>
      </w:pPr>
      <w:r>
        <w:t>ОБОРУДОВАНИЯ ДЛЯ ДЕТСКИХ ИГРОВЫХ ПЛОЩАДОК"</w:t>
      </w:r>
    </w:p>
    <w:p w:rsidR="00C55397" w:rsidRDefault="00C55397">
      <w:pPr>
        <w:pStyle w:val="ConsPlusNormal"/>
        <w:jc w:val="center"/>
      </w:pPr>
      <w:r>
        <w:t>(ТР ЕАЭС 042/2017) В ФОРМЕ СЕРТИФИКАЦИИ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1. Оборудование для детской игровой площадки: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а) горка детской игровой площадки;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б) качели детской игровой площадки;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в) качалка детской игровой площадки;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г) карусель детской игровой площадки;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д) канатная дорога детской игровой площадки;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е) детский городок (игровой комплекс).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2. Ударопоглощающее покрытие для детской игровой площадки: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а) покрытие резиновое;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б) покрытие синтетическое.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right"/>
        <w:outlineLvl w:val="1"/>
      </w:pPr>
      <w:r>
        <w:t>Приложение N 4</w:t>
      </w:r>
    </w:p>
    <w:p w:rsidR="00C55397" w:rsidRDefault="00C55397">
      <w:pPr>
        <w:pStyle w:val="ConsPlusNormal"/>
        <w:jc w:val="right"/>
      </w:pPr>
      <w:r>
        <w:lastRenderedPageBreak/>
        <w:t>к техническому регламенту</w:t>
      </w:r>
    </w:p>
    <w:p w:rsidR="00C55397" w:rsidRDefault="00C55397">
      <w:pPr>
        <w:pStyle w:val="ConsPlusNormal"/>
        <w:jc w:val="right"/>
      </w:pPr>
      <w:r>
        <w:t>Евразийского экономического союза</w:t>
      </w:r>
    </w:p>
    <w:p w:rsidR="00C55397" w:rsidRDefault="00C55397">
      <w:pPr>
        <w:pStyle w:val="ConsPlusNormal"/>
        <w:jc w:val="right"/>
      </w:pPr>
      <w:r>
        <w:t>"О безопасности оборудования</w:t>
      </w:r>
    </w:p>
    <w:p w:rsidR="00C55397" w:rsidRDefault="00C55397">
      <w:pPr>
        <w:pStyle w:val="ConsPlusNormal"/>
        <w:jc w:val="right"/>
      </w:pPr>
      <w:r>
        <w:t>для детских игровых площадок"</w:t>
      </w:r>
    </w:p>
    <w:p w:rsidR="00C55397" w:rsidRDefault="00C55397">
      <w:pPr>
        <w:pStyle w:val="ConsPlusNormal"/>
        <w:jc w:val="right"/>
      </w:pPr>
      <w:r>
        <w:t>(ТР ЕАЭС 042/2017)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jc w:val="center"/>
      </w:pPr>
      <w:bookmarkStart w:id="15" w:name="P883"/>
      <w:bookmarkEnd w:id="15"/>
      <w:r>
        <w:t>ПЕРЕЧЕНЬ</w:t>
      </w:r>
    </w:p>
    <w:p w:rsidR="00C55397" w:rsidRDefault="00C55397">
      <w:pPr>
        <w:pStyle w:val="ConsPlusNormal"/>
        <w:jc w:val="center"/>
      </w:pPr>
      <w:r>
        <w:t>ПРОДУКЦИИ, ПОДЛЕЖАЩЕЙ ОБЯЗАТЕЛЬНОМУ ПОДТВЕРЖДЕНИЮ</w:t>
      </w:r>
    </w:p>
    <w:p w:rsidR="00C55397" w:rsidRDefault="00C55397">
      <w:pPr>
        <w:pStyle w:val="ConsPlusNormal"/>
        <w:jc w:val="center"/>
      </w:pPr>
      <w:r>
        <w:t>СООТВЕТСТВИЯ ТРЕБОВАНИЯМ ТЕХНИЧЕСКОГО РЕГЛАМЕНТА</w:t>
      </w:r>
    </w:p>
    <w:p w:rsidR="00C55397" w:rsidRDefault="00C55397">
      <w:pPr>
        <w:pStyle w:val="ConsPlusNormal"/>
        <w:jc w:val="center"/>
      </w:pPr>
      <w:r>
        <w:t>ЕВРАЗИЙСКОГО ЭКОНОМИЧЕСКОГО СОЮЗА "О БЕЗОПАСНОСТИ</w:t>
      </w:r>
    </w:p>
    <w:p w:rsidR="00C55397" w:rsidRDefault="00C55397">
      <w:pPr>
        <w:pStyle w:val="ConsPlusNormal"/>
        <w:jc w:val="center"/>
      </w:pPr>
      <w:r>
        <w:t>ОБОРУДОВАНИЯ ДЛЯ ДЕТСКИХ ИГРОВЫХ ПЛОЩАДОК"</w:t>
      </w:r>
    </w:p>
    <w:p w:rsidR="00C55397" w:rsidRDefault="00C55397">
      <w:pPr>
        <w:pStyle w:val="ConsPlusNormal"/>
        <w:jc w:val="center"/>
      </w:pPr>
      <w:r>
        <w:t>(ТР ЕАЭС 042/2017) В ФОРМЕ ДЕКЛАРИРОВАНИЯ СООТВЕТСТВИЯ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  <w:r>
        <w:t>1. Игровое оборудование для детской игровой площадки, в том числе: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а) песочница;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б) игровой домик;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в) лабиринт.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2. Ударопоглощающее покрытие для детской игровой площадки: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а) покрытие песчаное;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б) покрытие гравийное;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в) покрытие дерновое;</w:t>
      </w:r>
    </w:p>
    <w:p w:rsidR="00C55397" w:rsidRDefault="00C55397">
      <w:pPr>
        <w:pStyle w:val="ConsPlusNormal"/>
        <w:spacing w:before="200"/>
        <w:ind w:firstLine="540"/>
        <w:jc w:val="both"/>
      </w:pPr>
      <w:r>
        <w:t>г) покрытие из дробленой древесины.</w:t>
      </w: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ind w:firstLine="540"/>
        <w:jc w:val="both"/>
      </w:pPr>
    </w:p>
    <w:p w:rsidR="00C55397" w:rsidRDefault="00C553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1DF" w:rsidRDefault="003371DF"/>
    <w:sectPr w:rsidR="003371DF" w:rsidSect="00DC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55397"/>
    <w:rsid w:val="003371DF"/>
    <w:rsid w:val="00C5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55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5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55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5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55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5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5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E0089390EC691DC1C95A0D8042989EBB732D1B6F5EAAD1FC30E156C43B1BFBF52A82E3D342AEA59FB927EBD035B623841455ABF59557DCt6y4G" TargetMode="External"/><Relationship Id="rId18" Type="http://schemas.openxmlformats.org/officeDocument/2006/relationships/hyperlink" Target="consultantplus://offline/ref=E5E0089390EC691DC1C95A0D8042989EBB732D1B6F5EAAD1FC30E156C43B1BFBF52A82E3D342AEA69CB927EBD035B623841455ABF59557DCt6y4G" TargetMode="External"/><Relationship Id="rId26" Type="http://schemas.openxmlformats.org/officeDocument/2006/relationships/hyperlink" Target="consultantplus://offline/ref=E5E0089390EC691DC1C95A0D8042989EBB732D1B6F5EAAD1FC30E156C43B1BFBF52A82E3D342AEA598B927EBD035B623841455ABF59557DCt6y4G" TargetMode="External"/><Relationship Id="rId39" Type="http://schemas.openxmlformats.org/officeDocument/2006/relationships/hyperlink" Target="consultantplus://offline/ref=E5E0089390EC691DC1C95A0D8042989EBB732D1B6F5EAAD1FC30E156C43B1BFBF52A82E3D342AEA59FB927EBD035B623841455ABF59557DCt6y4G" TargetMode="External"/><Relationship Id="rId21" Type="http://schemas.openxmlformats.org/officeDocument/2006/relationships/hyperlink" Target="consultantplus://offline/ref=E5E0089390EC691DC1C95A0D8042989EBB732D1B6F5EAAD1FC30E156C43B1BFBF52A82E3D342AEA59FB927EBD035B623841455ABF59557DCt6y4G" TargetMode="External"/><Relationship Id="rId34" Type="http://schemas.openxmlformats.org/officeDocument/2006/relationships/hyperlink" Target="consultantplus://offline/ref=E5E0089390EC691DC1C95A0D8042989EBB732D1B6F5EAAD1FC30E156C43B1BFBF52A82E3D342AEA59EB927EBD035B623841455ABF59557DCt6y4G" TargetMode="External"/><Relationship Id="rId42" Type="http://schemas.openxmlformats.org/officeDocument/2006/relationships/hyperlink" Target="consultantplus://offline/ref=E5E0089390EC691DC1C95A0D8042989EBB732D1B6F5EAAD1FC30E156C43B1BFBF52A82E3D342AEA599B927EBD035B623841455ABF59557DCt6y4G" TargetMode="External"/><Relationship Id="rId47" Type="http://schemas.openxmlformats.org/officeDocument/2006/relationships/hyperlink" Target="consultantplus://offline/ref=E5E0089390EC691DC1C95A0D8042989EBB732D1B6F5EAAD1FC30E156C43B1BFBF52A82E3D342AEA598B927EBD035B623841455ABF59557DCt6y4G" TargetMode="External"/><Relationship Id="rId50" Type="http://schemas.openxmlformats.org/officeDocument/2006/relationships/hyperlink" Target="consultantplus://offline/ref=E5E0089390EC691DC1C95A0D8042989EBB732D1B6F5EAAD1FC30E156C43B1BFBF52A82E3D342AEA69DB927EBD035B623841455ABF59557DCt6y4G" TargetMode="External"/><Relationship Id="rId55" Type="http://schemas.openxmlformats.org/officeDocument/2006/relationships/hyperlink" Target="consultantplus://offline/ref=E5E0089390EC691DC1C95A0D8042989EBB732D1B6F5EAAD1FC30E156C43B1BFBF52A82E3D342AEA69DB927EBD035B623841455ABF59557DCt6y4G" TargetMode="External"/><Relationship Id="rId63" Type="http://schemas.openxmlformats.org/officeDocument/2006/relationships/hyperlink" Target="consultantplus://offline/ref=E5E0089390EC691DC1C95A0D8042989EB87229166158AAD1FC30E156C43B1BFBF52A82E4D549F9F1DFE77EBA9C7EBA21920854ABtEy9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5E0089390EC691DC1C95A0D8042989EB87227166E54AAD1FC30E156C43B1BFBF52A82E3D342ADA19EB927EBD035B623841455ABF59557DCt6y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E0089390EC691DC1C95A0D8042989EBB732D1B6F5EAAD1FC30E156C43B1BFBF52A82E3D342AEA69DB927EBD035B623841455ABF59557DCt6y4G" TargetMode="External"/><Relationship Id="rId29" Type="http://schemas.openxmlformats.org/officeDocument/2006/relationships/hyperlink" Target="consultantplus://offline/ref=E5E0089390EC691DC1C95A0D8042989EBB732D1B6F5EAAD1FC30E156C43B1BFBF52A82E3D342AEA598B927EBD035B623841455ABF59557DCt6y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0089390EC691DC1C95A0D8042989EBE702C17615BAAD1FC30E156C43B1BFBF52A82E3D342A8A09AB927EBD035B623841455ABF59557DCt6y4G" TargetMode="External"/><Relationship Id="rId11" Type="http://schemas.openxmlformats.org/officeDocument/2006/relationships/hyperlink" Target="consultantplus://offline/ref=E5E0089390EC691DC1C95A0D8042989EBB732D1B6F5EAAD1FC30E156C43B1BFBF52A82E3D342AEA599B927EBD035B623841455ABF59557DCt6y4G" TargetMode="External"/><Relationship Id="rId24" Type="http://schemas.openxmlformats.org/officeDocument/2006/relationships/hyperlink" Target="consultantplus://offline/ref=E5E0089390EC691DC1C95A0D8042989EBB732D1B6F5EAAD1FC30E156C43B1BFBF52A82E3D342AEA598B927EBD035B623841455ABF59557DCt6y4G" TargetMode="External"/><Relationship Id="rId32" Type="http://schemas.openxmlformats.org/officeDocument/2006/relationships/hyperlink" Target="consultantplus://offline/ref=E5E0089390EC691DC1C95A0D8042989EBB732D1B6F5EAAD1FC30E156C43B1BFBF52A82E3D342AEA598B927EBD035B623841455ABF59557DCt6y4G" TargetMode="External"/><Relationship Id="rId37" Type="http://schemas.openxmlformats.org/officeDocument/2006/relationships/hyperlink" Target="consultantplus://offline/ref=E5E0089390EC691DC1C95A0D8042989EBB732D1B6F5EAAD1FC30E156C43B1BFBF52A82E3D342AEA599B927EBD035B623841455ABF59557DCt6y4G" TargetMode="External"/><Relationship Id="rId40" Type="http://schemas.openxmlformats.org/officeDocument/2006/relationships/hyperlink" Target="consultantplus://offline/ref=E5E0089390EC691DC1C95A0D8042989EBB732D1B6F5EAAD1FC30E156C43B1BFBF52A82E3D342AEA59EB927EBD035B623841455ABF59557DCt6y4G" TargetMode="External"/><Relationship Id="rId45" Type="http://schemas.openxmlformats.org/officeDocument/2006/relationships/hyperlink" Target="consultantplus://offline/ref=E5E0089390EC691DC1C95A0D8042989EBB732D1B6F5EAAD1FC30E156C43B1BFBF52A82E3D342AEA599B927EBD035B623841455ABF59557DCt6y4G" TargetMode="External"/><Relationship Id="rId53" Type="http://schemas.openxmlformats.org/officeDocument/2006/relationships/hyperlink" Target="consultantplus://offline/ref=E5E0089390EC691DC1C95A0D8042989EBB732D1B6F5EAAD1FC30E156C43B1BFBF52A82E3D342AEA69FB927EBD035B623841455ABF59557DCt6y4G" TargetMode="External"/><Relationship Id="rId58" Type="http://schemas.openxmlformats.org/officeDocument/2006/relationships/hyperlink" Target="consultantplus://offline/ref=E5E0089390EC691DC1C95A0D8042989EBB732D1B6F5EAAD1FC30E156C43B1BFBF52A82E3D342AEA69DB927EBD035B623841455ABF59557DCt6y4G" TargetMode="External"/><Relationship Id="rId66" Type="http://schemas.openxmlformats.org/officeDocument/2006/relationships/hyperlink" Target="consultantplus://offline/ref=E5E0089390EC691DC1C95A0D8042989EBB762B126B54AAD1FC30E156C43B1BFBE72ADAEFD34AB3A199AC71BA96t6y2G" TargetMode="External"/><Relationship Id="rId5" Type="http://schemas.openxmlformats.org/officeDocument/2006/relationships/hyperlink" Target="consultantplus://offline/ref=E5E0089390EC691DC1C95A0D8042989EBE732B146F5CAAD1FC30E156C43B1BFBF52A82E3D342A9A699B927EBD035B623841455ABF59557DCt6y4G" TargetMode="External"/><Relationship Id="rId15" Type="http://schemas.openxmlformats.org/officeDocument/2006/relationships/hyperlink" Target="consultantplus://offline/ref=E5E0089390EC691DC1C95A0D8042989EBB732D1B6F5EAAD1FC30E156C43B1BFBF52A82E3D342AEA69FB927EBD035B623841455ABF59557DCt6y4G" TargetMode="External"/><Relationship Id="rId23" Type="http://schemas.openxmlformats.org/officeDocument/2006/relationships/hyperlink" Target="consultantplus://offline/ref=E5E0089390EC691DC1C95A0D8042989EBB732D1B6F5EAAD1FC30E156C43B1BFBF52A82E3D342AEA599B927EBD035B623841455ABF59557DCt6y4G" TargetMode="External"/><Relationship Id="rId28" Type="http://schemas.openxmlformats.org/officeDocument/2006/relationships/hyperlink" Target="consultantplus://offline/ref=E5E0089390EC691DC1C95A0D8042989EBB732D1B6F5EAAD1FC30E156C43B1BFBF52A82E3D342AEA598B927EBD035B623841455ABF59557DCt6y4G" TargetMode="External"/><Relationship Id="rId36" Type="http://schemas.openxmlformats.org/officeDocument/2006/relationships/hyperlink" Target="consultantplus://offline/ref=E5E0089390EC691DC1C95A0D8042989EBB732D1B6F5EAAD1FC30E156C43B1BFBF52A82E3D342AEA599B927EBD035B623841455ABF59557DCt6y4G" TargetMode="External"/><Relationship Id="rId49" Type="http://schemas.openxmlformats.org/officeDocument/2006/relationships/hyperlink" Target="consultantplus://offline/ref=E5E0089390EC691DC1C95A0D8042989EBB732D1B6F5EAAD1FC30E156C43B1BFBF52A82E3D342AEA69FB927EBD035B623841455ABF59557DCt6y4G" TargetMode="External"/><Relationship Id="rId57" Type="http://schemas.openxmlformats.org/officeDocument/2006/relationships/hyperlink" Target="consultantplus://offline/ref=E5E0089390EC691DC1C95A0D8042989EBB732D1B6F5EAAD1FC30E156C43B1BFBF52A82E3D342AEA69FB927EBD035B623841455ABF59557DCt6y4G" TargetMode="External"/><Relationship Id="rId61" Type="http://schemas.openxmlformats.org/officeDocument/2006/relationships/hyperlink" Target="consultantplus://offline/ref=E5E0089390EC691DC1C95A0D8042989EBB732D1B6F5EAAD1FC30E156C43B1BFBF52A82E3D342AEA69EB927EBD035B623841455ABF59557DCt6y4G" TargetMode="External"/><Relationship Id="rId10" Type="http://schemas.openxmlformats.org/officeDocument/2006/relationships/hyperlink" Target="consultantplus://offline/ref=E5E0089390EC691DC1C95A0D8042989EB97A27166E5CAAD1FC30E156C43B1BFBF52A82E3D342ADA793B927EBD035B623841455ABF59557DCt6y4G" TargetMode="External"/><Relationship Id="rId19" Type="http://schemas.openxmlformats.org/officeDocument/2006/relationships/hyperlink" Target="consultantplus://offline/ref=E5E0089390EC691DC1C95A0D8042989EBB732D1B6F5EAAD1FC30E156C43B1BFBF52A82E3D342AEA599B927EBD035B623841455ABF59557DCt6y4G" TargetMode="External"/><Relationship Id="rId31" Type="http://schemas.openxmlformats.org/officeDocument/2006/relationships/hyperlink" Target="consultantplus://offline/ref=E5E0089390EC691DC1C95A0D8042989EBB732D1B6F5EAAD1FC30E156C43B1BFBF52A82E3D342AEA59EB927EBD035B623841455ABF59557DCt6y4G" TargetMode="External"/><Relationship Id="rId44" Type="http://schemas.openxmlformats.org/officeDocument/2006/relationships/hyperlink" Target="consultantplus://offline/ref=E5E0089390EC691DC1C95A0D8042989EBE702710605CAAD1FC30E156C43B1BFBF52A82E3D342AEA49CB927EBD035B623841455ABF59557DCt6y4G" TargetMode="External"/><Relationship Id="rId52" Type="http://schemas.openxmlformats.org/officeDocument/2006/relationships/hyperlink" Target="consultantplus://offline/ref=E5E0089390EC691DC1C95A0D8042989EBB732D1B6F5EAAD1FC30E156C43B1BFBF52A82E3D342AEA69CB927EBD035B623841455ABF59557DCt6y4G" TargetMode="External"/><Relationship Id="rId60" Type="http://schemas.openxmlformats.org/officeDocument/2006/relationships/hyperlink" Target="consultantplus://offline/ref=E5E0089390EC691DC1C95A0D8042989EBB732D1B6F5EAAD1FC30E156C43B1BFBF52A82E3D342AEA69DB927EBD035B623841455ABF59557DCt6y4G" TargetMode="External"/><Relationship Id="rId65" Type="http://schemas.openxmlformats.org/officeDocument/2006/relationships/hyperlink" Target="consultantplus://offline/ref=E5E0089390EC691DC1C95A0D8042989EB87B2A12685CAAD1FC30E156C43B1BFBF52A82E3D342ADA19AB927EBD035B623841455ABF59557DCt6y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E0089390EC691DC1C95A0D8042989EB97A27166E5CAAD1FC30E156C43B1BFBF52A82E3D342ADA19AB927EBD035B623841455ABF59557DCt6y4G" TargetMode="External"/><Relationship Id="rId14" Type="http://schemas.openxmlformats.org/officeDocument/2006/relationships/hyperlink" Target="consultantplus://offline/ref=E5E0089390EC691DC1C95A0D8042989EBB732D1B6F5EAAD1FC30E156C43B1BFBF52A82E3D342AEA59EB927EBD035B623841455ABF59557DCt6y4G" TargetMode="External"/><Relationship Id="rId22" Type="http://schemas.openxmlformats.org/officeDocument/2006/relationships/hyperlink" Target="consultantplus://offline/ref=E5E0089390EC691DC1C95A0D8042989EBB732D1B6F5EAAD1FC30E156C43B1BFBF52A82E3D342AEA59EB927EBD035B623841455ABF59557DCt6y4G" TargetMode="External"/><Relationship Id="rId27" Type="http://schemas.openxmlformats.org/officeDocument/2006/relationships/hyperlink" Target="consultantplus://offline/ref=E5E0089390EC691DC1C95A0D8042989EBB732D1B6F5EAAD1FC30E156C43B1BFBF52A82E3D342AEA599B927EBD035B623841455ABF59557DCt6y4G" TargetMode="External"/><Relationship Id="rId30" Type="http://schemas.openxmlformats.org/officeDocument/2006/relationships/hyperlink" Target="consultantplus://offline/ref=E5E0089390EC691DC1C95A0D8042989EBB732D1B6F5EAAD1FC30E156C43B1BFBF52A82E3D342AEA59FB927EBD035B623841455ABF59557DCt6y4G" TargetMode="External"/><Relationship Id="rId35" Type="http://schemas.openxmlformats.org/officeDocument/2006/relationships/hyperlink" Target="consultantplus://offline/ref=E5E0089390EC691DC1C95A0D8042989EBB732D1B6F5EAAD1FC30E156C43B1BFBF52A82E3D342AEA599B927EBD035B623841455ABF59557DCt6y4G" TargetMode="External"/><Relationship Id="rId43" Type="http://schemas.openxmlformats.org/officeDocument/2006/relationships/hyperlink" Target="consultantplus://offline/ref=E5E0089390EC691DC1C95A0D8042989EB87229166158AAD1FC30E156C43B1BFBF52A82E4D816FCE4CEBF73B28A61B93D8E0A56tAyBG" TargetMode="External"/><Relationship Id="rId48" Type="http://schemas.openxmlformats.org/officeDocument/2006/relationships/hyperlink" Target="consultantplus://offline/ref=E5E0089390EC691DC1C95A0D8042989EBE702710605CAAD1FC30E156C43B1BFBF52A82E3D342AEA492B927EBD035B623841455ABF59557DCt6y4G" TargetMode="External"/><Relationship Id="rId56" Type="http://schemas.openxmlformats.org/officeDocument/2006/relationships/hyperlink" Target="consultantplus://offline/ref=E5E0089390EC691DC1C95A0D8042989EBB732D1B6F5EAAD1FC30E156C43B1BFBF52A82E3D342AEA69CB927EBD035B623841455ABF59557DCt6y4G" TargetMode="External"/><Relationship Id="rId64" Type="http://schemas.openxmlformats.org/officeDocument/2006/relationships/hyperlink" Target="consultantplus://offline/ref=E5E0089390EC691DC1C95A0D8042989EB87229166158AAD1FC30E156C43B1BFBF52A82EAD249F9F1DFE77EBA9C7EBA21920854ABtEy9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E5E0089390EC691DC1C95A0D8042989EBE732B146F5CAAD1FC30E156C43B1BFBF52A82E3D340A4A79BB927EBD035B623841455ABF59557DCt6y4G" TargetMode="External"/><Relationship Id="rId51" Type="http://schemas.openxmlformats.org/officeDocument/2006/relationships/hyperlink" Target="consultantplus://offline/ref=E5E0089390EC691DC1C95A0D8042989EBB732D1B6F5EAAD1FC30E156C43B1BFBF52A82E3D342AEA69EB927EBD035B623841455ABF59557DCt6y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E0089390EC691DC1C95A0D8042989EBB732D1B6F5EAAD1FC30E156C43B1BFBF52A82E3D342AEA598B927EBD035B623841455ABF59557DCt6y4G" TargetMode="External"/><Relationship Id="rId17" Type="http://schemas.openxmlformats.org/officeDocument/2006/relationships/hyperlink" Target="consultantplus://offline/ref=E5E0089390EC691DC1C95A0D8042989EBB732D1B6F5EAAD1FC30E156C43B1BFBF52A82E3D342AEA69EB927EBD035B623841455ABF59557DCt6y4G" TargetMode="External"/><Relationship Id="rId25" Type="http://schemas.openxmlformats.org/officeDocument/2006/relationships/hyperlink" Target="consultantplus://offline/ref=E5E0089390EC691DC1C95A0D8042989EBB732D1B6F5EAAD1FC30E156C43B1BFBF52A82E3D342AEA599B927EBD035B623841455ABF59557DCt6y4G" TargetMode="External"/><Relationship Id="rId33" Type="http://schemas.openxmlformats.org/officeDocument/2006/relationships/hyperlink" Target="consultantplus://offline/ref=E5E0089390EC691DC1C95A0D8042989EBB732D1B6F5EAAD1FC30E156C43B1BFBF52A82E3D342AEA59FB927EBD035B623841455ABF59557DCt6y4G" TargetMode="External"/><Relationship Id="rId38" Type="http://schemas.openxmlformats.org/officeDocument/2006/relationships/hyperlink" Target="consultantplus://offline/ref=E5E0089390EC691DC1C95A0D8042989EBB732D1B6F5EAAD1FC30E156C43B1BFBF52A82E3D342AEA598B927EBD035B623841455ABF59557DCt6y4G" TargetMode="External"/><Relationship Id="rId46" Type="http://schemas.openxmlformats.org/officeDocument/2006/relationships/hyperlink" Target="consultantplus://offline/ref=E5E0089390EC691DC1C95A0D8042989EBE702710605CAAD1FC30E156C43B1BFBF52A82E3D342AEA49CB927EBD035B623841455ABF59557DCt6y4G" TargetMode="External"/><Relationship Id="rId59" Type="http://schemas.openxmlformats.org/officeDocument/2006/relationships/hyperlink" Target="consultantplus://offline/ref=E5E0089390EC691DC1C95A0D8042989EBB732D1B6F5EAAD1FC30E156C43B1BFBF52A82E3D342AEA69FB927EBD035B623841455ABF59557DCt6y4G" TargetMode="External"/><Relationship Id="rId67" Type="http://schemas.openxmlformats.org/officeDocument/2006/relationships/hyperlink" Target="consultantplus://offline/ref=E5E0089390EC691DC1C95A0D8042989EBE702710605CAAD1FC30E156C43B1BFBF52A82E3D342AEA492B927EBD035B623841455ABF59557DCt6y4G" TargetMode="External"/><Relationship Id="rId20" Type="http://schemas.openxmlformats.org/officeDocument/2006/relationships/hyperlink" Target="consultantplus://offline/ref=E5E0089390EC691DC1C95A0D8042989EBB732D1B6F5EAAD1FC30E156C43B1BFBF52A82E3D342AEA598B927EBD035B623841455ABF59557DCt6y4G" TargetMode="External"/><Relationship Id="rId41" Type="http://schemas.openxmlformats.org/officeDocument/2006/relationships/hyperlink" Target="consultantplus://offline/ref=E5E0089390EC691DC1C95A0D8042989EBB732D1B6F5EAAD1FC30E156C43B1BFBF52A82E3D342AEA599B927EBD035B623841455ABF59557DCt6y4G" TargetMode="External"/><Relationship Id="rId54" Type="http://schemas.openxmlformats.org/officeDocument/2006/relationships/hyperlink" Target="consultantplus://offline/ref=E5E0089390EC691DC1C95A0D8042989EBB732D1B6F5EAAD1FC30E156C43B1BFBF52A82E3D342AEA69EB927EBD035B623841455ABF59557DCt6y4G" TargetMode="External"/><Relationship Id="rId62" Type="http://schemas.openxmlformats.org/officeDocument/2006/relationships/hyperlink" Target="consultantplus://offline/ref=E5E0089390EC691DC1C95A0D8042989EBB732D1B6F5EAAD1FC30E156C43B1BFBF52A82E3D342AEA69CB927EBD035B623841455ABF59557DCt6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9257</Words>
  <Characters>52770</Characters>
  <Application>Microsoft Office Word</Application>
  <DocSecurity>0</DocSecurity>
  <Lines>439</Lines>
  <Paragraphs>123</Paragraphs>
  <ScaleCrop>false</ScaleCrop>
  <Company/>
  <LinksUpToDate>false</LinksUpToDate>
  <CharactersWithSpaces>61904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2022-12-08T06:50:00Z</dcterms:created>
  <dcterms:modified xsi:type="dcterms:W3CDTF">2022-12-08T06:51:00Z</dcterms:modified>
</cp:coreProperties>
</file>